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 бюджете города Нефтеюганска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плановый период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годов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Принято Думой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декабря 2024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изменяющих документов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             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№800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Нефтеюганска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25.09.2013 №633-V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руководствуясь Уставом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 Нефтеюганска,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4 662 350 227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   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6 727 689 600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2 065 339 373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города на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в объёме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лей.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524 668 000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481 299 400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170 448 627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18 912 890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в том числе условно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утвержденные расходы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645 780 627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537 613 490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0 рублей,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110 519 883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по муниципальным гарантиям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объёме 0 рублей, на  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доходов бюджета города по показателям классификации доходов: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1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источники финансирования дефицита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разделам, подразделам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88 407 473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8 713 179 081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рубль 11 копеек;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510 478 000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282 071 700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112 427 277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иным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бразом зарезервированные,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139 921 628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173 571 735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69 520 735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на: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43 114 669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20 000 000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11 563 625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ниципальной собственности в 2025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57 520 735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887 186 799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</w:t>
      </w:r>
      <w:r>
        <w:rPr>
          <w:rFonts w:ascii="Times New Roman" w:hAnsi="Times New Roman" w:cs="Times New Roman"/>
          <w:sz w:val="27"/>
          <w:szCs w:val="27"/>
        </w:rPr>
        <w:t xml:space="preserve">ей</w:t>
      </w:r>
      <w:r>
        <w:rPr>
          <w:rFonts w:ascii="Times New Roman" w:hAnsi="Times New Roman" w:cs="Times New Roman"/>
          <w:sz w:val="27"/>
          <w:szCs w:val="27"/>
        </w:rPr>
        <w:t xml:space="preserve">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614</w:t>
      </w:r>
      <w:r>
        <w:rPr>
          <w:rFonts w:ascii="Times New Roman" w:hAnsi="Times New Roman" w:cs="Times New Roman"/>
          <w:sz w:val="27"/>
          <w:szCs w:val="27"/>
        </w:rPr>
        <w:t xml:space="preserve"> 300 200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501</w:t>
      </w:r>
      <w:r>
        <w:rPr>
          <w:rFonts w:ascii="Times New Roman" w:hAnsi="Times New Roman" w:cs="Times New Roman"/>
          <w:sz w:val="27"/>
          <w:szCs w:val="27"/>
        </w:rPr>
        <w:t xml:space="preserve"> 125 151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>
        <w:rPr>
          <w:rFonts w:ascii="Times New Roman" w:hAnsi="Times New Roman" w:cs="Times New Roman"/>
          <w:sz w:val="27"/>
          <w:szCs w:val="27"/>
        </w:rPr>
        <w:t xml:space="preserve"> Думы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526 739 145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43</w:t>
      </w:r>
      <w:r>
        <w:rPr>
          <w:rFonts w:ascii="Times New Roman" w:hAnsi="Times New Roman" w:cs="Times New Roman"/>
          <w:sz w:val="27"/>
          <w:szCs w:val="27"/>
        </w:rPr>
        <w:t xml:space="preserve">3 590 110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32</w:t>
      </w:r>
      <w:r>
        <w:rPr>
          <w:rFonts w:ascii="Times New Roman" w:hAnsi="Times New Roman" w:cs="Times New Roman"/>
          <w:sz w:val="27"/>
          <w:szCs w:val="27"/>
        </w:rPr>
        <w:t xml:space="preserve">3 475 881</w:t>
      </w:r>
      <w:r>
        <w:rPr>
          <w:rFonts w:ascii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hAnsi="Times New Roman" w:cs="Times New Roman"/>
          <w:sz w:val="27"/>
          <w:szCs w:val="27"/>
        </w:rPr>
        <w:t xml:space="preserve">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Установить, </w:t>
      </w:r>
      <w:r>
        <w:rPr>
          <w:rFonts w:ascii="Times New Roman" w:hAnsi="Times New Roman" w:eastAsia="Calibri" w:cs="Times New Roman"/>
          <w:sz w:val="27"/>
          <w:szCs w:val="27"/>
        </w:rPr>
        <w:t xml:space="preserve">что расходование средств, а именно</w:t>
      </w:r>
      <w:r>
        <w:rPr>
          <w:rFonts w:ascii="Times New Roman" w:hAnsi="Times New Roman" w:eastAsia="Calibri" w:cs="Times New Roman"/>
          <w:sz w:val="27"/>
          <w:szCs w:val="27"/>
        </w:rPr>
        <w:t xml:space="preserve">: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платы за негативное воздействие на окружающую среду,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суммы штраф</w:t>
      </w:r>
      <w:r>
        <w:rPr>
          <w:rFonts w:ascii="Times New Roman" w:hAnsi="Times New Roman" w:eastAsia="Calibri" w:cs="Times New Roman"/>
          <w:sz w:val="27"/>
          <w:szCs w:val="27"/>
        </w:rPr>
        <w:t xml:space="preserve">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автономного округа – Югры за административные правонарушения в области охраны окружающей среды и природопользования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средств от п</w:t>
      </w:r>
      <w:r>
        <w:rPr>
          <w:rFonts w:ascii="Times New Roman" w:hAnsi="Times New Roman" w:eastAsia="Calibri" w:cs="Times New Roman"/>
          <w:sz w:val="27"/>
          <w:szCs w:val="27"/>
        </w:rPr>
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1</w:t>
      </w:r>
      <w:r>
        <w:rPr>
          <w:rFonts w:ascii="Times New Roman" w:hAnsi="Times New Roman" w:eastAsia="Calibri" w:cs="Times New Roman"/>
          <w:sz w:val="27"/>
          <w:szCs w:val="27"/>
        </w:rPr>
        <w:t xml:space="preserve">5</w:t>
      </w:r>
      <w:r>
        <w:rPr>
          <w:rFonts w:ascii="Times New Roman" w:hAnsi="Times New Roman" w:eastAsia="Calibri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если иное не предусмотрено нормативными правовыми актами Правительства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возмещение затрат субъектам малого и среднего предпринимательства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развитие социального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предпринимательства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по откачке и вывозу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7)на возмещение затрат сельхозтоваропроизводителям (за исключением личных подсобных хозяйств) на поддержку растениеводства;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хоз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товаропроизводителям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поддержку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животноводства;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нск, 7 микрорайон (станция ВОС);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ных в пункте 2.1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следующих случаях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12" w:tooltip="https://login.consultant.ru/link/?req=doc&amp;base=RLAW926&amp;n=312293&amp;dst=133516" w:history="1">
        <w:r>
          <w:rPr>
            <w:rFonts w:ascii="Times New Roman" w:hAnsi="Times New Roman" w:eastAsia="Times New Roman" w:cs="Times New Roman"/>
            <w:sz w:val="27"/>
            <w:szCs w:val="27"/>
            <w:lang w:eastAsia="ru-RU"/>
          </w:rPr>
          <w:t xml:space="preserve">приложении 14</w:t>
        </w:r>
      </w:hyperlink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постановлению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астны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финансово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реализацию социально значимых проектов социально ориентированны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осуществляющи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каникулярное время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6)на реализацию социально значимых проектов социально ориентированным некоммерческим организациям,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государственными (муниципальными)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сфере культуры;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7</w:t>
      </w:r>
      <w:r>
        <w:rPr>
          <w:rFonts w:ascii="Times New Roman" w:hAnsi="Times New Roman" w:eastAsia="Calibri" w:cs="Times New Roman"/>
          <w:sz w:val="27"/>
          <w:szCs w:val="27"/>
        </w:rPr>
        <w:t xml:space="preserve"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ascii="Times New Roman" w:hAnsi="Times New Roman" w:eastAsia="Calibri" w:cs="Times New Roman"/>
          <w:sz w:val="27"/>
          <w:szCs w:val="27"/>
        </w:rPr>
        <w:t xml:space="preserve">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порядке, установленном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(акты уполномоченных ею органов местного самоуправления)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должны соответствовать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требованиям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администрирование переданного отдельного государственного полномочия по предоставлению компенсации части родительской платы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присмотр и уход за детьми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 xml:space="preserve">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10)</w:t>
      </w:r>
      <w:r>
        <w:rPr>
          <w:rFonts w:ascii="Times New Roman" w:hAnsi="Times New Roman" w:cs="Times New Roman"/>
          <w:sz w:val="27"/>
          <w:szCs w:val="27"/>
        </w:rPr>
        <w:t xml:space="preserve">на реализацию инициативных проектов (в 2025 году).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Субсидия из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13.07.2020 №189-ФЗ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внутренних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заимствований города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Установить, что органы местного самоуправления муниципального образования город Нефтеюганск</w:t>
      </w:r>
      <w: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</w:t>
      </w:r>
      <w:r>
        <w:rPr>
          <w:rFonts w:ascii="Times New Roman" w:hAnsi="Times New Roman" w:cs="Times New Roman"/>
          <w:sz w:val="27"/>
          <w:szCs w:val="27"/>
        </w:rPr>
        <w:t xml:space="preserve">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>
        <w:rPr>
          <w:rFonts w:ascii="Times New Roman" w:hAnsi="Times New Roman" w:cs="Times New Roman"/>
          <w:sz w:val="27"/>
          <w:szCs w:val="27"/>
        </w:rPr>
        <w:t xml:space="preserve">–</w:t>
      </w:r>
      <w:r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>
        <w:rPr>
          <w:rFonts w:ascii="Times New Roman" w:hAnsi="Times New Roman" w:cs="Times New Roman"/>
          <w:sz w:val="27"/>
          <w:szCs w:val="27"/>
        </w:rPr>
        <w:t xml:space="preserve">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Нефтеюганск, по вводу (приобретению) новых объектов капитального строительства)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>
        <w:rPr>
          <w:rFonts w:ascii="Times New Roman" w:hAnsi="Times New Roman" w:eastAsia="Times New Roman" w:cs="Times New Roman"/>
          <w:sz w:val="27"/>
          <w:szCs w:val="27"/>
          <w:vertAlign w:val="super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Положения о бюджетном устройстве и бюджетном процессе в городе Нефтеюганске, утвержденном решением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633-V.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пунктом 8 статьи 217 Бюджетного кодекса Российской Федерации, пунктом 2 статьи 121 реше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бюджетных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производится на лицевых счетах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открываемых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департаменте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установленном им порядке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получателей средств из бюджета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источником финансового обеспечения которых являются субсидии, представленные из бюджета города, производится на ли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цевых счетах, открываемых им в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епартаменте финансов в установленном им порядке.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Положение абзаца первого настоящего пункта не распространяется на субсидии, предоставляемые: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социально ориентированным некоммерческим организациям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Установить, что в 2025 году департамент финансов осуществляет казначейское сопровождение средств, указанных в пункте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 настоящего решения, предоставляемых из бюджета города.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.1. Казначейскому сопровождению подлежат: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полнении работ, оказании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авансовые платежи по контрактам (договорам, соглашениям) о поставке товаров, выполнен</w:t>
      </w:r>
      <w:r>
        <w:rPr>
          <w:rFonts w:ascii="Times New Roman" w:hAnsi="Times New Roman" w:eastAsia="Calibri" w:cs="Times New Roman"/>
          <w:sz w:val="27"/>
          <w:szCs w:val="27"/>
        </w:rPr>
        <w:t xml:space="preserve">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</w:t>
      </w:r>
      <w:r>
        <w:rPr>
          <w:rFonts w:ascii="Times New Roman" w:hAnsi="Times New Roman" w:eastAsia="Calibri" w:cs="Times New Roman"/>
          <w:sz w:val="27"/>
          <w:szCs w:val="27"/>
        </w:rPr>
        <w:t xml:space="preserve">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</w:t>
      </w:r>
      <w: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города, указанные в подпункте 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вклады), указанные в подпункте 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пункта, на сумму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более 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000,0 тыс.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иные средства, определенные администрацией города Нефтеюганска;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средства, полу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Решение вступает в силу с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В.Чекунов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декабря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2"/>
    <w:next w:val="852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3"/>
    <w:link w:val="697"/>
    <w:uiPriority w:val="10"/>
    <w:rPr>
      <w:sz w:val="48"/>
      <w:szCs w:val="48"/>
    </w:rPr>
  </w:style>
  <w:style w:type="paragraph" w:styleId="699">
    <w:name w:val="Subtitle"/>
    <w:basedOn w:val="852"/>
    <w:next w:val="852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3"/>
    <w:link w:val="699"/>
    <w:uiPriority w:val="11"/>
    <w:rPr>
      <w:sz w:val="24"/>
      <w:szCs w:val="24"/>
    </w:rPr>
  </w:style>
  <w:style w:type="paragraph" w:styleId="701">
    <w:name w:val="Quote"/>
    <w:basedOn w:val="852"/>
    <w:next w:val="852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2"/>
    <w:next w:val="852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3"/>
    <w:link w:val="857"/>
    <w:uiPriority w:val="99"/>
  </w:style>
  <w:style w:type="character" w:styleId="706">
    <w:name w:val="Footer Char"/>
    <w:basedOn w:val="853"/>
    <w:link w:val="859"/>
    <w:uiPriority w:val="99"/>
  </w:style>
  <w:style w:type="paragraph" w:styleId="707">
    <w:name w:val="Caption"/>
    <w:basedOn w:val="852"/>
    <w:next w:val="852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3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3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Всегда"/>
    <w:basedOn w:val="852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57">
    <w:name w:val="Header"/>
    <w:basedOn w:val="852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53"/>
    <w:link w:val="857"/>
    <w:uiPriority w:val="99"/>
  </w:style>
  <w:style w:type="paragraph" w:styleId="859">
    <w:name w:val="Footer"/>
    <w:basedOn w:val="852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53"/>
    <w:link w:val="859"/>
    <w:uiPriority w:val="99"/>
  </w:style>
  <w:style w:type="paragraph" w:styleId="861" w:customStyle="1">
    <w:name w:val="Body Text 21"/>
    <w:basedOn w:val="852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2">
    <w:name w:val="List Paragraph"/>
    <w:basedOn w:val="852"/>
    <w:uiPriority w:val="34"/>
    <w:qFormat/>
    <w:pPr>
      <w:contextualSpacing/>
      <w:ind w:left="720"/>
    </w:pPr>
  </w:style>
  <w:style w:type="paragraph" w:styleId="863">
    <w:name w:val="Balloon Text"/>
    <w:basedOn w:val="852"/>
    <w:link w:val="8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4" w:customStyle="1">
    <w:name w:val="Текст выноски Знак"/>
    <w:basedOn w:val="853"/>
    <w:link w:val="863"/>
    <w:uiPriority w:val="99"/>
    <w:semiHidden/>
    <w:rPr>
      <w:rFonts w:ascii="Tahoma" w:hAnsi="Tahoma" w:cs="Tahoma"/>
      <w:sz w:val="16"/>
      <w:szCs w:val="16"/>
    </w:rPr>
  </w:style>
  <w:style w:type="character" w:styleId="865">
    <w:name w:val="Hyperlink"/>
    <w:basedOn w:val="853"/>
    <w:uiPriority w:val="99"/>
    <w:semiHidden/>
    <w:unhideWhenUsed/>
    <w:rPr>
      <w:color w:val="0000ff" w:themeColor="hyperlink"/>
      <w:u w:val="single"/>
    </w:rPr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7" w:customStyle="1">
    <w:name w:val="Основной текст 21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 w:customStyle="1">
    <w:name w:val="Основной текст 22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https://login.consultant.ru/link/?req=doc&amp;base=RLAW926&amp;n=312293&amp;dst=133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470</cp:revision>
  <dcterms:created xsi:type="dcterms:W3CDTF">2019-01-30T05:23:00Z</dcterms:created>
  <dcterms:modified xsi:type="dcterms:W3CDTF">2025-06-26T04:25:34Z</dcterms:modified>
</cp:coreProperties>
</file>