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C0" w:rsidRDefault="001B29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36830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1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18.25pt;mso-position-horizontal:absolute;mso-position-vertical-relative:text;margin-top:2.90pt;mso-position-vertical:absolute;width:46.20pt;height:54.00pt;mso-wrap-distance-left:9.00pt;mso-wrap-distance-top:0.00pt;mso-wrap-distance-right:9.00pt;mso-wrap-distance-bottom:0.00pt;" wrapcoords="0 0 0 97222 97403 97222 97403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1845C0" w:rsidRDefault="001845C0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1845C0" w:rsidRDefault="001845C0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845C0" w:rsidRDefault="001845C0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845C0" w:rsidRDefault="001845C0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1845C0" w:rsidRDefault="001B294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1845C0" w:rsidRDefault="001845C0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1845C0" w:rsidRDefault="001B294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845C0" w:rsidRDefault="001845C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1845C0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5403" w:type="dxa"/>
            <w:shd w:val="clear" w:color="auto" w:fill="auto"/>
          </w:tcPr>
          <w:p w:rsidR="001845C0" w:rsidRDefault="001845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№ 777-п</w:t>
            </w:r>
          </w:p>
        </w:tc>
      </w:tr>
    </w:tbl>
    <w:p w:rsidR="001845C0" w:rsidRDefault="001B29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845C0" w:rsidRDefault="001845C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перечне приоритетных направлений (плане мероприятий) реализации</w:t>
      </w: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Стратегии государственной антинаркотической политики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Российской Федерации на период до 2030 года на территории города Нефтеюганска</w:t>
      </w:r>
    </w:p>
    <w:p w:rsidR="001845C0" w:rsidRDefault="001845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</w:t>
      </w:r>
      <w:r>
        <w:rPr>
          <w:rFonts w:ascii="Times New Roman" w:hAnsi="Times New Roman"/>
          <w:sz w:val="28"/>
          <w:szCs w:val="28"/>
          <w:lang w:eastAsia="ru-RU"/>
        </w:rPr>
        <w:t>до 2030 года», распоряжением Губернатора Ханты-Мансийского автономного округа – Югры от 15.04.2021      № 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до 2030 года в Ханты-Мансийском автономном округе - Югре»,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Уставом города Нефтеюганска, администрация города Нефтеюганска постановляет: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1.Утвердить перечень приоритетных направлений (план мероприятий) реализации Стратегии государственной антинаркот</w:t>
      </w:r>
      <w:r>
        <w:rPr>
          <w:rFonts w:ascii="Times New Roman" w:hAnsi="Times New Roman"/>
          <w:sz w:val="28"/>
          <w:szCs w:val="28"/>
          <w:lang w:eastAsia="ru-RU"/>
        </w:rPr>
        <w:t>ической политики Российской Федерации на период до 2030 года на территории города Нефтеюганска согласно приложению к постановлению.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города Нефтеюганска от 01.07.2022 № 1275-п «О перечне приоритетных на</w:t>
      </w:r>
      <w:r>
        <w:rPr>
          <w:rFonts w:ascii="Times New Roman" w:hAnsi="Times New Roman"/>
          <w:sz w:val="28"/>
          <w:szCs w:val="28"/>
        </w:rPr>
        <w:t>правлений (плане мероприятий) реализации Стратегии государственной антинаркотической политики Российской Федерации на период до 2030 года на территории города Нефтеюганска».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3.Информационно-аналитическому отделу администрации города (Михайлова Ю.В.) размес</w:t>
      </w:r>
      <w:r>
        <w:rPr>
          <w:rFonts w:ascii="Times New Roman" w:hAnsi="Times New Roman"/>
          <w:sz w:val="28"/>
          <w:szCs w:val="28"/>
          <w:lang w:eastAsia="ru-RU"/>
        </w:rPr>
        <w:t>тить постановление на официальном сайте органов местного самоуправления города Нефтеюганска.</w:t>
      </w:r>
    </w:p>
    <w:p w:rsidR="001845C0" w:rsidRDefault="001B294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4.Контроль исполнения постановления возложить на первого заместителя главы города П.В.Гусенкова</w:t>
      </w:r>
    </w:p>
    <w:p w:rsidR="001845C0" w:rsidRDefault="001845C0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845C0" w:rsidRDefault="001845C0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845C0" w:rsidRDefault="001B2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Нефтеюганска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Ю.В.Чекунов</w:t>
      </w:r>
    </w:p>
    <w:p w:rsidR="001845C0" w:rsidRDefault="0018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5C0" w:rsidRDefault="0018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5C0" w:rsidRDefault="0018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5C0" w:rsidRDefault="001845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5C0" w:rsidRDefault="001B2948">
      <w:pPr>
        <w:shd w:val="clear" w:color="auto" w:fill="FFFFFF"/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845C0" w:rsidRDefault="001B2948">
      <w:pPr>
        <w:shd w:val="clear" w:color="auto" w:fill="FFFFFF"/>
        <w:spacing w:after="0" w:line="240" w:lineRule="auto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города                от </w:t>
      </w:r>
      <w:r>
        <w:rPr>
          <w:rFonts w:ascii="Times New Roman" w:hAnsi="Times New Roman"/>
          <w:sz w:val="28"/>
          <w:szCs w:val="28"/>
        </w:rPr>
        <w:t>18.07.2025</w:t>
      </w:r>
      <w:r>
        <w:rPr>
          <w:rFonts w:ascii="Times New Roman" w:hAnsi="Times New Roman"/>
          <w:sz w:val="28"/>
          <w:szCs w:val="28"/>
          <w:lang w:eastAsia="ru-RU"/>
        </w:rPr>
        <w:t xml:space="preserve"> № 777-п</w:t>
      </w:r>
    </w:p>
    <w:p w:rsidR="001845C0" w:rsidRDefault="001845C0">
      <w:pPr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1845C0" w:rsidRDefault="001B2948">
      <w:pPr>
        <w:spacing w:after="0" w:line="240" w:lineRule="auto"/>
        <w:jc w:val="center"/>
        <w:rPr>
          <w:rFonts w:ascii="TimesNewRomanPS-BoldMT" w:eastAsiaTheme="minorHAnsi" w:hAnsi="TimesNewRomanPS-BoldMT" w:cs="TimesNewRomanPS-BoldMT"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Перечень </w:t>
      </w:r>
    </w:p>
    <w:p w:rsidR="001845C0" w:rsidRDefault="001B2948">
      <w:pPr>
        <w:spacing w:after="0" w:line="240" w:lineRule="auto"/>
        <w:jc w:val="center"/>
        <w:rPr>
          <w:rFonts w:ascii="TimesNewRomanPS-BoldMT" w:eastAsiaTheme="minorHAnsi" w:hAnsi="TimesNewRomanPS-BoldMT" w:cs="TimesNewRomanPS-BoldMT"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на территории город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а Нефтеюганска</w:t>
      </w:r>
    </w:p>
    <w:p w:rsidR="001845C0" w:rsidRDefault="001845C0">
      <w:pPr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1.Общие положения</w:t>
      </w:r>
    </w:p>
    <w:p w:rsidR="001845C0" w:rsidRDefault="001B2948">
      <w:pPr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Перечень приоритетных направлений (план мероприятий) реализации Стратегии государственной антинаркотической политики Российской Федерации на период до 2030 года на территории города Нефтеюганска (далее - Перечень приоритет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ных направлений, Стратегия) разработан во исполнение </w:t>
      </w:r>
      <w:r>
        <w:rPr>
          <w:rFonts w:ascii="Times New Roman" w:eastAsia="Calibri" w:hAnsi="Times New Roman"/>
          <w:sz w:val="28"/>
          <w:szCs w:val="28"/>
        </w:rPr>
        <w:t>Указа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распоряжения Губернатора Ханты</w:t>
      </w:r>
      <w:r>
        <w:rPr>
          <w:rFonts w:ascii="Times New Roman" w:eastAsia="Calibri" w:hAnsi="Times New Roman"/>
          <w:sz w:val="28"/>
          <w:szCs w:val="28"/>
        </w:rPr>
        <w:t xml:space="preserve">-Мансийского автономного округа – Югры от 15.04.2021 № 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</w:t>
      </w:r>
      <w:r>
        <w:rPr>
          <w:rFonts w:ascii="Times New Roman" w:eastAsia="Calibri" w:hAnsi="Times New Roman"/>
          <w:sz w:val="28"/>
          <w:szCs w:val="28"/>
        </w:rPr>
        <w:t>округе - Югре».</w:t>
      </w:r>
    </w:p>
    <w:p w:rsidR="001845C0" w:rsidRDefault="001B2948">
      <w:pPr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Перечень приоритетных направлений определяет основные направления, задачи, меры по реализации Стратегии, а также механизм и показатели её реализации на территории города Нефтеюганска.</w:t>
      </w:r>
    </w:p>
    <w:p w:rsidR="001845C0" w:rsidRDefault="001845C0">
      <w:pPr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.Правовая основа реализации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государственной антинаркотической политики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 территории города Нефтеюганска</w:t>
      </w:r>
    </w:p>
    <w:p w:rsidR="001845C0" w:rsidRDefault="001B2948">
      <w:pPr>
        <w:spacing w:after="0" w:line="24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Правовую основу реализации государственной антинаркотической политики на территории города Нефтеюганска составляют: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-Конституция Российской Федерации;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-Федеральный закон от 08.01.</w:t>
      </w:r>
      <w:r>
        <w:rPr>
          <w:rFonts w:ascii="Times New Roman" w:eastAsia="Calibri" w:hAnsi="Times New Roman"/>
          <w:sz w:val="28"/>
          <w:szCs w:val="28"/>
        </w:rPr>
        <w:t>1998 № 3-ФЗ «О наркотических средствах и психотропных веществах»;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</w:rPr>
        <w:t>-Федеральный закон от 23.06.2016 № 182-ФЗ «Об основах системы профилактики правонарушений в Российской Федерации»;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-Указ Президента Российской Федерации от 23.11.2020 № 733                  </w:t>
      </w:r>
      <w:r>
        <w:rPr>
          <w:rFonts w:ascii="Times New Roman" w:eastAsia="Calibri" w:hAnsi="Times New Roman"/>
          <w:sz w:val="28"/>
          <w:szCs w:val="28"/>
        </w:rPr>
        <w:t xml:space="preserve">     «Об утверждении Стратегии государственной антинаркотической политики Российской Федерации на период до 2030 года»;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-Указ Президента Российской Федерации от 07.05.2024 № 309 «О национальных целях развития Российской Федерации на период до 2030 года и н</w:t>
      </w:r>
      <w:r>
        <w:rPr>
          <w:rFonts w:ascii="Times New Roman" w:eastAsia="Calibri" w:hAnsi="Times New Roman"/>
          <w:sz w:val="28"/>
          <w:szCs w:val="28"/>
        </w:rPr>
        <w:t>а перспективу до 2036 года»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-распоряжение Губернатора Ханты-Мансийского автономного округа – Югры от 15.04.2021 № 102-рг «О перечне приоритетных направлений (плане мероприятий) реализации Стратегии государственной антинаркотической </w:t>
      </w:r>
      <w:r>
        <w:rPr>
          <w:rFonts w:ascii="Times New Roman" w:eastAsia="Calibri" w:hAnsi="Times New Roman"/>
          <w:sz w:val="28"/>
          <w:szCs w:val="28"/>
        </w:rPr>
        <w:lastRenderedPageBreak/>
        <w:t>политики Российской Феде</w:t>
      </w:r>
      <w:r>
        <w:rPr>
          <w:rFonts w:ascii="Times New Roman" w:eastAsia="Calibri" w:hAnsi="Times New Roman"/>
          <w:sz w:val="28"/>
          <w:szCs w:val="28"/>
        </w:rPr>
        <w:t>рации на период до 2030 года в Ханты-Мансийском автономном округе - Югре»;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-постановление администрации города Нефтеюганска от 15.11.2018              № 596-п «Об утверждении муниципальной программы города Нефтеюганска «Профилактика правонарушений в сфере </w:t>
      </w:r>
      <w:r>
        <w:rPr>
          <w:rFonts w:ascii="Times New Roman" w:eastAsia="Calibri" w:hAnsi="Times New Roman"/>
          <w:sz w:val="28"/>
          <w:szCs w:val="28"/>
        </w:rPr>
        <w:t>общественного порядка, профилактика незаконного оборота и потребления наркотических средств и психотропных веществ в городе Нефтеюганске».</w:t>
      </w:r>
    </w:p>
    <w:p w:rsidR="001845C0" w:rsidRDefault="001845C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3.Краткая характеристика наркоситуации на территории города Нефтеюганска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период реализации </w:t>
      </w:r>
      <w:r>
        <w:rPr>
          <w:rFonts w:ascii="Times New Roman" w:eastAsia="Calibri" w:hAnsi="Times New Roman"/>
          <w:sz w:val="28"/>
          <w:szCs w:val="28"/>
        </w:rPr>
        <w:t>Стратегии государственной антинаркотической политики Российской Федерации до 2030 года,</w:t>
      </w:r>
      <w:r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eastAsia="Calibri" w:hAnsi="Times New Roman"/>
          <w:sz w:val="28"/>
          <w:szCs w:val="28"/>
        </w:rPr>
        <w:t xml:space="preserve">Указом Президента Российской Федерации от 23.11.2020 № 733, по итогам 2024 года к показателям 2020 года на территории города Нефтеюганска зарегистрированы </w:t>
      </w:r>
      <w:r>
        <w:rPr>
          <w:rFonts w:ascii="Times New Roman" w:eastAsia="Calibri" w:hAnsi="Times New Roman"/>
          <w:sz w:val="28"/>
          <w:szCs w:val="28"/>
        </w:rPr>
        <w:t>следующие результаты: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-число лиц с диагнозом «наркомания» сократилось на 35,5% или с 105 до 67 человек (на 100 тыс. населения с 82,5 до 53,2);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-число лиц, зарегистрированных впервые в жизни с диагнозом «наркомания», увеличилось на 62,5% или с 3 до 5 челове</w:t>
      </w:r>
      <w:r>
        <w:rPr>
          <w:rFonts w:ascii="Times New Roman" w:eastAsia="Calibri" w:hAnsi="Times New Roman"/>
          <w:sz w:val="28"/>
          <w:szCs w:val="28"/>
        </w:rPr>
        <w:t>к (на 100 тыс. населения с 2,4 до 3,9);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-число лиц, зарегистрированных с диагнозом «потребление наркотических средств и психотропных веществ с вредными последствиями», сократилось на 14,7% или с 13 до 11 (на 100 тыс. населения с 10,2 до 8,7);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-число лиц, з</w:t>
      </w:r>
      <w:r>
        <w:rPr>
          <w:rFonts w:ascii="Times New Roman" w:eastAsia="Calibri" w:hAnsi="Times New Roman"/>
          <w:sz w:val="28"/>
          <w:szCs w:val="28"/>
        </w:rPr>
        <w:t>арегистрированных впервые в жизни с диагнозом «потребление наркотических средств и психотропных веществ с вредными последствиями», сократилось на 48,4% или с 4 до 2 (на 100 тыс. населения с 3,1 до 1,6);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-число смертельных отравлений от наркотических средст</w:t>
      </w:r>
      <w:r>
        <w:rPr>
          <w:rFonts w:ascii="Times New Roman" w:eastAsia="Calibri" w:hAnsi="Times New Roman"/>
          <w:sz w:val="28"/>
          <w:szCs w:val="28"/>
        </w:rPr>
        <w:t>в и психотропных веществ</w:t>
      </w:r>
      <w:r>
        <w:t xml:space="preserve"> </w:t>
      </w:r>
      <w:r>
        <w:rPr>
          <w:rFonts w:ascii="Times New Roman" w:eastAsia="Calibri" w:hAnsi="Times New Roman"/>
          <w:sz w:val="28"/>
          <w:szCs w:val="28"/>
        </w:rPr>
        <w:t>сократилось на 77,1% или с 9 до 2 (на 100 тыс. населения с 7 до 1,6);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-число зарегистрированных наркопреступлений сократилось на 9% (с 144 до 131)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Мониторинг наркоситуации осуществляется в соответствии с постановлением Губернатора </w:t>
      </w:r>
      <w:r>
        <w:rPr>
          <w:rFonts w:ascii="Times New Roman" w:hAnsi="Times New Roman"/>
          <w:color w:val="000000"/>
          <w:sz w:val="28"/>
          <w:lang w:eastAsia="ru-RU"/>
        </w:rPr>
        <w:t xml:space="preserve">Ханты-Мансийского автономного округа – Югры от 20.03.2012 № 46 «Об организации мониторинга наркоситуации </w:t>
      </w:r>
      <w:r>
        <w:rPr>
          <w:rFonts w:ascii="Times New Roman" w:hAnsi="Times New Roman"/>
          <w:color w:val="000000"/>
          <w:sz w:val="28"/>
          <w:lang w:eastAsia="ru-RU"/>
        </w:rPr>
        <w:br/>
        <w:t>в Ханты-Мансийском автономном округе – Югре» в целях: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-определения состояния наркоситуации и масштабов незаконного распространения и потребления нарко</w:t>
      </w:r>
      <w:r>
        <w:rPr>
          <w:rFonts w:ascii="Times New Roman" w:hAnsi="Times New Roman"/>
          <w:color w:val="000000"/>
          <w:sz w:val="28"/>
          <w:lang w:eastAsia="ru-RU"/>
        </w:rPr>
        <w:t>тиков;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-выявления, прогнозирования и оценки угроз национальной безопасности, связанных с незаконным оборотом наркотиков и их прекурсоров;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-оценки эффективности,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проводимой в автономном округе антинаркотической политики и формирования предложений по её оптимизации. 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По результатам мониторинга состояние наркоситуации на </w:t>
      </w:r>
      <w:r>
        <w:rPr>
          <w:rFonts w:ascii="Times New Roman" w:hAnsi="Times New Roman"/>
          <w:color w:val="000000"/>
          <w:sz w:val="28"/>
          <w:lang w:eastAsia="ru-RU"/>
        </w:rPr>
        <w:br/>
        <w:t>территории города Нефтеюганска оценивалось: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-2020 год – «предкризисное»;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>- 2021 – 2024 годы – «</w:t>
      </w:r>
      <w:r>
        <w:rPr>
          <w:rFonts w:ascii="Times New Roman" w:hAnsi="Times New Roman"/>
          <w:color w:val="000000"/>
          <w:sz w:val="28"/>
          <w:lang w:eastAsia="ru-RU"/>
        </w:rPr>
        <w:t>нейтральное».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Субъектами профилактики наркомании на территории города Нефтеюганска являются: </w:t>
      </w:r>
    </w:p>
    <w:p w:rsidR="001845C0" w:rsidRDefault="001B2948">
      <w:pPr>
        <w:spacing w:after="9" w:line="240" w:lineRule="auto"/>
        <w:ind w:left="-15" w:firstLine="71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zh-CN"/>
        </w:rPr>
        <w:t>Отдел Министерства внутренних дел России по городу Нефтеюганску;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-Филиал по городу Нефтеюганску Федерального казенного учреждения «Уголовно-исполнительная инспек</w:t>
      </w:r>
      <w:r>
        <w:rPr>
          <w:rFonts w:ascii="Times New Roman" w:hAnsi="Times New Roman"/>
          <w:sz w:val="28"/>
          <w:szCs w:val="28"/>
          <w:lang w:eastAsia="ru-RU"/>
        </w:rPr>
        <w:t>ция Управления Федеральной службы исполнения наказаний по Ханты-Мансийскому автономному округу – Югре;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округу – Югре в городе Нефтеюганске, Нефтеюганском районе и городе Пыть-Яхе;</w:t>
      </w:r>
    </w:p>
    <w:p w:rsidR="001845C0" w:rsidRDefault="001B2948">
      <w:pPr>
        <w:spacing w:after="0" w:line="240" w:lineRule="auto"/>
        <w:ind w:left="17" w:firstLine="6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-Бюджетное учреждение Ханты-Мансийского автономного округа – Югры «Нефтеюганская окружная клиническая больница имени В.И.Яцкив»;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-Бюджетное учреждение Ханты-Мансийского автономно</w:t>
      </w:r>
      <w:r>
        <w:rPr>
          <w:rFonts w:ascii="Times New Roman" w:hAnsi="Times New Roman"/>
          <w:bCs/>
          <w:sz w:val="28"/>
          <w:szCs w:val="28"/>
          <w:lang w:eastAsia="zh-CN"/>
        </w:rPr>
        <w:t>го округа – Югры «Центр общественного здоровья и медицинской профилактики» филиал в городе Нефтеюганске;</w:t>
      </w:r>
    </w:p>
    <w:p w:rsidR="001845C0" w:rsidRDefault="001B2948">
      <w:pPr>
        <w:spacing w:after="0" w:line="240" w:lineRule="auto"/>
        <w:ind w:left="17" w:firstLine="691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-Управление социальной защиты населения, опеки и попечительства </w:t>
      </w:r>
      <w:r>
        <w:rPr>
          <w:rFonts w:ascii="Times New Roman" w:hAnsi="Times New Roman"/>
          <w:sz w:val="28"/>
          <w:szCs w:val="28"/>
          <w:lang w:eastAsia="ru-RU"/>
        </w:rPr>
        <w:t>по городу Нефтеюганску и Нефтеюганскому району;</w:t>
      </w:r>
    </w:p>
    <w:p w:rsidR="001845C0" w:rsidRDefault="001B2948">
      <w:pPr>
        <w:spacing w:after="0" w:line="240" w:lineRule="auto"/>
        <w:ind w:firstLine="695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-Департамент по делам администрации города (далее - ДДА);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-Департамент образования администрации города (далее - ДО);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-Комитет физической культуры и спорта администрации города (далее - КФКиС);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-Комитет культуры и туризма администрации города (далее - ККи</w:t>
      </w:r>
      <w:r>
        <w:rPr>
          <w:rFonts w:ascii="Times New Roman" w:hAnsi="Times New Roman"/>
          <w:bCs/>
          <w:sz w:val="28"/>
          <w:szCs w:val="28"/>
          <w:lang w:eastAsia="zh-CN"/>
        </w:rPr>
        <w:t>Т);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-Отдел по организации деятельности комиссии по делам несовершеннолетних и защите их прав;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-Информационно-аналитический отдел администрации города (далее - ИАО);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-Местная общественная организация города Нефтеюганска «Общество трезвости «Здравие» при Х</w:t>
      </w:r>
      <w:r>
        <w:rPr>
          <w:rFonts w:ascii="Times New Roman" w:hAnsi="Times New Roman"/>
          <w:bCs/>
          <w:sz w:val="28"/>
          <w:szCs w:val="28"/>
          <w:lang w:eastAsia="zh-CN"/>
        </w:rPr>
        <w:t>раме свт.Луки (Войно-Ясенецкого);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-Местная религиозная организация православный Приход храма Святого Духа города Нефтеюганска;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-С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ообщество «Анонимные наркоманы»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845C0" w:rsidRDefault="001B2948">
      <w:pPr>
        <w:spacing w:after="0" w:line="240" w:lineRule="auto"/>
        <w:ind w:left="17" w:hanging="1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-М</w:t>
      </w:r>
      <w:r>
        <w:rPr>
          <w:rFonts w:ascii="Times New Roman" w:eastAsia="Calibri" w:hAnsi="Times New Roman"/>
          <w:sz w:val="28"/>
          <w:szCs w:val="28"/>
          <w:lang w:eastAsia="ru-RU"/>
        </w:rPr>
        <w:t>естное отделение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Общероссийского общественно-государственного движения детей и молодежи «Движение первых» в городе Нефтеюганске.</w:t>
      </w:r>
    </w:p>
    <w:p w:rsidR="001845C0" w:rsidRDefault="001845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4.Приоритетные направления реализации Стратегии</w:t>
      </w:r>
      <w: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Перечень приоритетных направлений реализации Стратегии</w:t>
      </w:r>
      <w: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на те</w:t>
      </w:r>
      <w:r>
        <w:rPr>
          <w:rFonts w:ascii="Times New Roman" w:hAnsi="Times New Roman"/>
          <w:bCs/>
          <w:sz w:val="28"/>
          <w:szCs w:val="28"/>
          <w:lang w:eastAsia="zh-CN"/>
        </w:rPr>
        <w:t>рритории города Нефтеюганска (далее - Приоритетные направления) определяется с учетом местных особенностей: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-направления антинаркотической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-задачи, решаемые в направлениях антинаркотической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-меры, обеспечивающие решения задач ан</w:t>
      </w:r>
      <w:r>
        <w:rPr>
          <w:rFonts w:ascii="Times New Roman" w:hAnsi="Times New Roman"/>
          <w:bCs/>
          <w:sz w:val="28"/>
          <w:szCs w:val="28"/>
          <w:lang w:eastAsia="zh-CN"/>
        </w:rPr>
        <w:t>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-план мероприятий по реализации направления антинаркотической деятельности.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Срок выполнения планов мероприятий по реализации приоритетных направлений: с 2025 по 2030 годы.</w:t>
      </w:r>
    </w:p>
    <w:p w:rsidR="001845C0" w:rsidRDefault="001845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Перечень приоритетных направлений: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4.1.«Совершенствов</w:t>
      </w:r>
      <w:r>
        <w:rPr>
          <w:rFonts w:ascii="Times New Roman" w:hAnsi="Times New Roman"/>
          <w:bCs/>
          <w:sz w:val="28"/>
          <w:szCs w:val="28"/>
          <w:lang w:eastAsia="zh-CN"/>
        </w:rPr>
        <w:t>ание антинаркотической деятельности».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Задачи, решаемые в этом приоритетном направлении: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-совершенствование (с учетом анализа наркоситуации, опроса населения) нормативного правового регулирования антинаркотической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-обеспечение эффективной координации антинаркотической деятельности.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Меры, обеспечивающие решение указанных задач: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-принятие нормативных правовых актов, повышающих эффективность антинаркотической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-обеспечение согласованности мер по реализации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Стратегии;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-методическое обеспечение деятельности субъектов профилактики по вопросам реализации антинаркотической политики на территории города;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-организация профессиональной подготовки и переподготовки специалистов;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-создание условий для эффективного уча</w:t>
      </w:r>
      <w:r>
        <w:rPr>
          <w:rFonts w:ascii="Times New Roman" w:hAnsi="Times New Roman"/>
          <w:bCs/>
          <w:sz w:val="28"/>
          <w:szCs w:val="28"/>
          <w:lang w:eastAsia="zh-CN"/>
        </w:rPr>
        <w:t>стия общественных объединений, организаций и граждан в антинаркотической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-внедрение лучших практик органов местного самоуправления по профилактике наркомании;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-взаимодействие с молодежными общественными объединениями в целях профилактики нарк</w:t>
      </w:r>
      <w:r>
        <w:rPr>
          <w:rFonts w:ascii="Times New Roman" w:hAnsi="Times New Roman"/>
          <w:bCs/>
          <w:sz w:val="28"/>
          <w:szCs w:val="28"/>
          <w:lang w:eastAsia="zh-CN"/>
        </w:rPr>
        <w:t>омании;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-мониторинг социальных сетей и иных информационных порталов Интернет пространства на предмет призывов к распространению, употреблению, информирующих о способах приготовления и изготовления наркотических средств и психоактивных веществ на территории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города Нефтеюганска.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мероприятий по реализации указанного приоритетного направления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845C0">
      <w:pPr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"/>
          <w:szCs w:val="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2"/>
        <w:gridCol w:w="3118"/>
      </w:tblGrid>
      <w:tr w:rsidR="001845C0">
        <w:trPr>
          <w:cantSplit/>
          <w:trHeight w:val="146"/>
          <w:jc w:val="center"/>
        </w:trPr>
        <w:tc>
          <w:tcPr>
            <w:tcW w:w="709" w:type="dxa"/>
          </w:tcPr>
          <w:p w:rsidR="001845C0" w:rsidRDefault="001B2948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845C0" w:rsidRDefault="001B2948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42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  <w:tc>
          <w:tcPr>
            <w:tcW w:w="3118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программа, включающая мероприятие</w:t>
            </w:r>
          </w:p>
        </w:tc>
      </w:tr>
      <w:tr w:rsidR="001845C0">
        <w:trPr>
          <w:cantSplit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деятельности субъектов профилактики наркомании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</w:t>
            </w:r>
          </w:p>
        </w:tc>
        <w:tc>
          <w:tcPr>
            <w:tcW w:w="3118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      </w:r>
          </w:p>
        </w:tc>
      </w:tr>
    </w:tbl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4.2.«Профилактика и раннее выявление незаконного потребления наркотиков».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Задачи, решаемые в этом приоритетном направлении: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-формирование на общих методологических основаниях системы комплексной антинаркотической профилактической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-создание с </w:t>
      </w:r>
      <w:r>
        <w:rPr>
          <w:rFonts w:ascii="Times New Roman" w:hAnsi="Times New Roman"/>
          <w:bCs/>
          <w:sz w:val="28"/>
          <w:szCs w:val="28"/>
          <w:lang w:eastAsia="zh-CN"/>
        </w:rPr>
        <w:t>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Меры, обеспечивающие решение указанных задач: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-организация сотрудничества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</w:t>
      </w:r>
      <w:r>
        <w:rPr>
          <w:rFonts w:ascii="Times New Roman" w:hAnsi="Times New Roman"/>
          <w:bCs/>
          <w:sz w:val="28"/>
          <w:szCs w:val="28"/>
          <w:lang w:eastAsia="zh-CN"/>
        </w:rPr>
        <w:t>ием наркотиков, и последствиях такого потребления;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-распространение просветительских материалов по вопросам оказания профилактической и лечебной помощи;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-распространение печатной продукции (памяток, буклетов), направленной на снижение числа отравлений нарк</w:t>
      </w:r>
      <w:r>
        <w:rPr>
          <w:rFonts w:ascii="Times New Roman" w:hAnsi="Times New Roman"/>
          <w:bCs/>
          <w:sz w:val="28"/>
          <w:szCs w:val="28"/>
          <w:lang w:eastAsia="zh-CN"/>
        </w:rPr>
        <w:t>отическими средствами и психотропными веществами, в том числе со смертельным исходом;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-разработка и реализация ежегодных медиа-планов по информационному сопровождению деятельности субъектов антинаркотической деятельности;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-информационное сопровождение в СМ</w:t>
      </w:r>
      <w:r>
        <w:rPr>
          <w:rFonts w:ascii="Times New Roman" w:hAnsi="Times New Roman"/>
          <w:bCs/>
          <w:sz w:val="28"/>
          <w:szCs w:val="28"/>
          <w:lang w:eastAsia="zh-CN"/>
        </w:rPr>
        <w:t>И мероприятий муниципальной программы в сфере реализации антинаркотической политики;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-правовое просвещение граждан в сфере противодействия распространению социально значимых заболеваний;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-развитие инфраструктуры, форм и методов первичной профилактики незак</w:t>
      </w:r>
      <w:r>
        <w:rPr>
          <w:rFonts w:ascii="Times New Roman" w:hAnsi="Times New Roman"/>
          <w:bCs/>
          <w:sz w:val="28"/>
          <w:szCs w:val="28"/>
          <w:lang w:eastAsia="zh-CN"/>
        </w:rPr>
        <w:t>онного потребления наркотиков;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-расширение практики использования универсальных педагогических методик (тренинг, проектная деятельность, другие методики);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-включение профилактических мероприятий во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-уделение внимания в образовательных организациях духовно</w:t>
      </w:r>
      <w:r>
        <w:rPr>
          <w:rFonts w:ascii="Times New Roman" w:hAnsi="Times New Roman"/>
          <w:bCs/>
          <w:sz w:val="28"/>
          <w:szCs w:val="28"/>
          <w:lang w:eastAsia="zh-CN"/>
        </w:rPr>
        <w:t>-нравственному воспитанию, формирующему у обучающихся устойчивое неприятие незаконного потребления наркотиков;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</w:rPr>
        <w:t>реализация м</w:t>
      </w:r>
      <w:r>
        <w:rPr>
          <w:rFonts w:ascii="Times New Roman" w:hAnsi="Times New Roman"/>
          <w:bCs/>
          <w:sz w:val="28"/>
          <w:szCs w:val="28"/>
          <w:lang w:eastAsia="zh-CN"/>
        </w:rPr>
        <w:t>ероприятий, направленных на формирование здорового образа жизни, негативного отношения к незаконному обороту и потреблению наркотиче</w:t>
      </w:r>
      <w:r>
        <w:rPr>
          <w:rFonts w:ascii="Times New Roman" w:hAnsi="Times New Roman"/>
          <w:bCs/>
          <w:sz w:val="28"/>
          <w:szCs w:val="28"/>
          <w:lang w:eastAsia="zh-CN"/>
        </w:rPr>
        <w:t>ских средств и психотропных веществ, в том числе в «группах риска»;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-организация досуговой занятости подростков, молодежи;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-реализация мероприятий, направленных на раннее выявление потребителей наркотиков в детско-подростковой и молодежной среде;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-организа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ция и проведение акций по удалению рекламных надписей о реализации психоактивных веществ, пропагандирующих наркотические </w:t>
      </w: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средства на фасадах, стенах зданий учреждений, организаций, жилых домов, объектов общего пользования;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-активное привлечение общественны</w:t>
      </w:r>
      <w:r>
        <w:rPr>
          <w:rFonts w:ascii="Times New Roman" w:hAnsi="Times New Roman"/>
          <w:bCs/>
          <w:sz w:val="28"/>
          <w:szCs w:val="28"/>
          <w:lang w:eastAsia="zh-CN"/>
        </w:rPr>
        <w:t>х организаций и специализированных учреждений к участию в профилактических мероприятиях;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-активное привлечение добровольцев (волонтеров) к участию в реализации антинаркотической политики;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мероприятий по реализации указанного приоритетного направления</w:t>
      </w:r>
    </w:p>
    <w:p w:rsidR="001845C0" w:rsidRDefault="001845C0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3"/>
        <w:gridCol w:w="2126"/>
        <w:gridCol w:w="3680"/>
      </w:tblGrid>
      <w:tr w:rsidR="001845C0">
        <w:trPr>
          <w:cantSplit/>
          <w:trHeight w:val="146"/>
        </w:trPr>
        <w:tc>
          <w:tcPr>
            <w:tcW w:w="709" w:type="dxa"/>
          </w:tcPr>
          <w:p w:rsidR="001845C0" w:rsidRDefault="001B2948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845C0" w:rsidRDefault="001B2948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3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126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  <w:tc>
          <w:tcPr>
            <w:tcW w:w="3680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программа, включающая мероприятие</w:t>
            </w:r>
          </w:p>
        </w:tc>
      </w:tr>
      <w:tr w:rsidR="001845C0">
        <w:trPr>
          <w:cantSplit/>
          <w:trHeight w:val="146"/>
        </w:trPr>
        <w:tc>
          <w:tcPr>
            <w:tcW w:w="70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граждан к информации о рисках и последствиях незаконного потребления наркотиков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ИАО,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ККиТ,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</w:p>
        </w:tc>
        <w:tc>
          <w:tcPr>
            <w:tcW w:w="3680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      </w:r>
          </w:p>
        </w:tc>
      </w:tr>
      <w:tr w:rsidR="001845C0">
        <w:trPr>
          <w:cantSplit/>
          <w:trHeight w:val="683"/>
        </w:trPr>
        <w:tc>
          <w:tcPr>
            <w:tcW w:w="70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ДДА,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ККиТ,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</w:p>
        </w:tc>
        <w:tc>
          <w:tcPr>
            <w:tcW w:w="3680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«Профилактика правонарушений                     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      </w:r>
          </w:p>
        </w:tc>
      </w:tr>
      <w:tr w:rsidR="001845C0">
        <w:trPr>
          <w:cantSplit/>
          <w:trHeight w:val="683"/>
        </w:trPr>
        <w:tc>
          <w:tcPr>
            <w:tcW w:w="70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поддержка добровольческого (волонтерского) антинаркотического движения, в том числе немедицинского потребления наркотиков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КФКиС</w:t>
            </w:r>
          </w:p>
        </w:tc>
        <w:tc>
          <w:tcPr>
            <w:tcW w:w="3680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«Профилактика правонарушений                      в сфере общественного порядка, профилактика незаконного оборота и 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отребления наркотических средств и психотропных веществ в городе Нефтеюганске»</w:t>
            </w:r>
          </w:p>
        </w:tc>
      </w:tr>
    </w:tbl>
    <w:p w:rsidR="001845C0" w:rsidRDefault="001B294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4.3.«Сокращение количества преступлений и правонарушений, связанных с незаконным оборотом наркотиков».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Задача, решаемая в этом приоритетном направлении: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>
        <w:rPr>
          <w:rFonts w:ascii="Times New Roman" w:hAnsi="Times New Roman"/>
          <w:bCs/>
          <w:sz w:val="28"/>
          <w:szCs w:val="28"/>
          <w:lang w:eastAsia="zh-CN"/>
        </w:rPr>
        <w:t>повышение уровня информированности населения о предусмотренной законодательством уголовной и административной ответственности за совершение преступлений и правонарушений, связанных с незаконным оборотом наркотиков.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Мера, обеспечивающая решение указанной за</w:t>
      </w:r>
      <w:r>
        <w:rPr>
          <w:rFonts w:ascii="Times New Roman" w:hAnsi="Times New Roman"/>
          <w:bCs/>
          <w:sz w:val="28"/>
          <w:szCs w:val="28"/>
          <w:lang w:eastAsia="zh-CN"/>
        </w:rPr>
        <w:t>дачи:</w:t>
      </w:r>
    </w:p>
    <w:p w:rsidR="001845C0" w:rsidRDefault="001B29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-антинаркотическая пропаганда и информационное сопровождение деятельности правоохранительных органов и органов МСУ незаконному обороту наркотиков.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мероприятий по реализации указанного приоритетного направления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842"/>
        <w:gridCol w:w="3118"/>
      </w:tblGrid>
      <w:tr w:rsidR="001845C0">
        <w:trPr>
          <w:cantSplit/>
          <w:trHeight w:val="146"/>
          <w:jc w:val="center"/>
        </w:trPr>
        <w:tc>
          <w:tcPr>
            <w:tcW w:w="709" w:type="dxa"/>
          </w:tcPr>
          <w:p w:rsidR="001845C0" w:rsidRDefault="001B2948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845C0" w:rsidRDefault="001B2948">
            <w:pPr>
              <w:spacing w:after="0" w:line="240" w:lineRule="auto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42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  <w:tc>
          <w:tcPr>
            <w:tcW w:w="3118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программа, включающая мероприятие</w:t>
            </w:r>
          </w:p>
        </w:tc>
      </w:tr>
      <w:tr w:rsidR="001845C0">
        <w:trPr>
          <w:cantSplit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граждан к информации о мероприятиях в сфере противодействия незаконному обороту наркотиков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ИАО</w:t>
            </w:r>
          </w:p>
        </w:tc>
        <w:tc>
          <w:tcPr>
            <w:tcW w:w="3118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«Развитие гражданского общества»</w:t>
            </w:r>
          </w:p>
        </w:tc>
      </w:tr>
    </w:tbl>
    <w:p w:rsidR="001845C0" w:rsidRDefault="001845C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5.Механизмы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контроля реализации Перечня приоритетных направлений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5.1.Рассмотрение на заседаниях Антинаркотической комиссии города Нефтеюганска</w:t>
      </w:r>
      <w:r>
        <w:rPr>
          <w:rStyle w:val="afb"/>
          <w:rFonts w:ascii="Times New Roman" w:hAnsi="Times New Roman"/>
          <w:bCs/>
          <w:sz w:val="28"/>
          <w:szCs w:val="28"/>
          <w:lang w:eastAsia="zh-CN"/>
        </w:rPr>
        <w:footnoteReference w:id="1"/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хода реализации выполнения Перечня приоритетных направлений ответственными исполнителями.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5.2.Представление субъектами про</w:t>
      </w:r>
      <w:r>
        <w:rPr>
          <w:rFonts w:ascii="Times New Roman" w:hAnsi="Times New Roman"/>
          <w:bCs/>
          <w:sz w:val="28"/>
          <w:szCs w:val="28"/>
          <w:lang w:eastAsia="zh-CN"/>
        </w:rPr>
        <w:t>филактики наркомании на территории города Нефтеюганска ежегодной отчетности о реализации Плана в адрес председателя Антинаркотической комиссии города Нефтеюганска.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Срок предоставления ежегодной отчетности - до 15 декабря текущего года.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5.3.Анализ информа</w:t>
      </w:r>
      <w:r>
        <w:rPr>
          <w:rFonts w:ascii="Times New Roman" w:hAnsi="Times New Roman"/>
          <w:bCs/>
          <w:sz w:val="28"/>
          <w:szCs w:val="28"/>
          <w:lang w:eastAsia="zh-CN"/>
        </w:rPr>
        <w:t>ции, поступающей от</w:t>
      </w:r>
      <w: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субъектов профилактики наркомании на территории города Нефтеюганска.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5.4.Анализ информации, поступающей по запросам аппарата Антинаркотической комиссии города Нефтеюганска.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6.Оценка эффективности реализации Стратегии </w:t>
      </w:r>
      <w:r>
        <w:rPr>
          <w:rFonts w:ascii="Times New Roman" w:hAnsi="Times New Roman"/>
          <w:bCs/>
          <w:sz w:val="28"/>
          <w:szCs w:val="28"/>
          <w:lang w:eastAsia="zh-CN"/>
        </w:rPr>
        <w:t>на территории города Нефтеюганска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Оценка эффективности реализации Стратегии на территории города Нефтеюганска осуществляется на основании показателей состояния наркоситуации на территории города Нефтеюганска (далее - показатель).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Характеристика базовых зна</w:t>
      </w:r>
      <w:r>
        <w:rPr>
          <w:rFonts w:ascii="Times New Roman" w:hAnsi="Times New Roman"/>
          <w:bCs/>
          <w:sz w:val="28"/>
          <w:szCs w:val="28"/>
          <w:lang w:eastAsia="zh-CN"/>
        </w:rPr>
        <w:t>чений показателей (2024 год):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-вовлеченность населения в незаконный оборот наркотиков (с</w:t>
      </w:r>
      <w:r>
        <w:rPr>
          <w:rFonts w:ascii="Times New Roman" w:hAnsi="Times New Roman"/>
          <w:bCs/>
          <w:sz w:val="28"/>
          <w:szCs w:val="28"/>
          <w:lang w:eastAsia="zh-CN"/>
        </w:rPr>
        <w:t>оотношение общего числа лиц, совершивших наркопреступления, и общего числа лиц, совершивших административные правонарушения в сфере незаконного оборота наркотиков, к среднегодовой численности населения в расчете на 100 000 человек) в городе - 69,1, в автон</w:t>
      </w:r>
      <w:r>
        <w:rPr>
          <w:rFonts w:ascii="Times New Roman" w:hAnsi="Times New Roman"/>
          <w:bCs/>
          <w:sz w:val="28"/>
          <w:szCs w:val="28"/>
          <w:lang w:eastAsia="zh-CN"/>
        </w:rPr>
        <w:t>омном округе - 162,8 случаев;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-криминогенность наркомании (соотношение числа потребителей наркотиков, совершивших преступления, и числа лиц, совершивших административные правонарушения, связанные с потреблением наркотиков либо в состоянии наркотического оп</w:t>
      </w:r>
      <w:r>
        <w:rPr>
          <w:rFonts w:ascii="Times New Roman" w:hAnsi="Times New Roman"/>
          <w:bCs/>
          <w:sz w:val="28"/>
          <w:szCs w:val="28"/>
          <w:lang w:eastAsia="zh-CN"/>
        </w:rPr>
        <w:t>ьянения, к среднегодовой численности населения в расчете на 100 000 человек) в городе - 41,3, в автономном округе - 126,7 случаев;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-количество случаев отравления наркотиками (соотношение общего количества случаев острых отравлений наркотиками к среднегодов</w:t>
      </w:r>
      <w:r>
        <w:rPr>
          <w:rFonts w:ascii="Times New Roman" w:hAnsi="Times New Roman"/>
          <w:bCs/>
          <w:sz w:val="28"/>
          <w:szCs w:val="28"/>
          <w:lang w:eastAsia="zh-CN"/>
        </w:rPr>
        <w:t>ой численности населения в расчете на 100 000 человек) в городе - 1,6, в автономном округе - 6,1 случая;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-количество случаев отравления наркотиками среди несовершеннолетних (соотношение общего количества случаев острых отравлений наркотиками среди несоверш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еннолетних к среднегодовой численности населения в возрасте 0-17 </w:t>
      </w: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лет в расчете на 100 000 человек)</w:t>
      </w:r>
      <w: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>в городе - 0,0, в автономном округе -                             0,7 случаев;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-количество случаев смерти в результате потребления наркотиков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оотношение ко</w:t>
      </w:r>
      <w:r>
        <w:rPr>
          <w:rFonts w:ascii="Times New Roman" w:hAnsi="Times New Roman"/>
          <w:sz w:val="28"/>
          <w:szCs w:val="28"/>
        </w:rPr>
        <w:t>личества случаев смертельных отравлений наркотическими средствами к среднегодовой численности населения в расчете                                          на 100 000 человек)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в городе - 1,6, в автономном округе - 3,2 случая;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-общая оценка наркоситуации (по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данным системы мониторинга наркоситуации) в городе - «нейтральная», в автономном округе - «нейтральная».</w:t>
      </w: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План достижения значений показателей по годам</w:t>
      </w:r>
    </w:p>
    <w:p w:rsidR="001845C0" w:rsidRDefault="001845C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479"/>
        <w:gridCol w:w="1134"/>
        <w:gridCol w:w="851"/>
        <w:gridCol w:w="850"/>
        <w:gridCol w:w="851"/>
        <w:gridCol w:w="850"/>
        <w:gridCol w:w="851"/>
        <w:gridCol w:w="1417"/>
      </w:tblGrid>
      <w:tr w:rsidR="001845C0">
        <w:trPr>
          <w:cantSplit/>
          <w:trHeight w:val="360"/>
        </w:trPr>
        <w:tc>
          <w:tcPr>
            <w:tcW w:w="493" w:type="dxa"/>
            <w:vMerge w:val="restart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2479" w:type="dxa"/>
            <w:vMerge w:val="restart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1845C0" w:rsidRDefault="001B2948">
            <w:pPr>
              <w:spacing w:after="0" w:line="240" w:lineRule="auto"/>
              <w:ind w:left="-67" w:right="-7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Базовое значение показателя (2024 год) </w:t>
            </w:r>
          </w:p>
        </w:tc>
        <w:tc>
          <w:tcPr>
            <w:tcW w:w="4253" w:type="dxa"/>
            <w:gridSpan w:val="5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Значения показателя</w:t>
            </w:r>
          </w:p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г</w:t>
            </w:r>
            <w:r>
              <w:rPr>
                <w:rFonts w:ascii="Times New Roman" w:hAnsi="Times New Roman"/>
                <w:lang w:eastAsia="ru-RU"/>
              </w:rPr>
              <w:t>одам</w:t>
            </w:r>
          </w:p>
        </w:tc>
        <w:tc>
          <w:tcPr>
            <w:tcW w:w="1417" w:type="dxa"/>
          </w:tcPr>
          <w:p w:rsidR="001845C0" w:rsidRDefault="001B2948">
            <w:pPr>
              <w:spacing w:after="0" w:line="240" w:lineRule="auto"/>
              <w:ind w:left="-63" w:right="-6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Ожидаемый результат реализации Плана</w:t>
            </w:r>
          </w:p>
        </w:tc>
      </w:tr>
      <w:tr w:rsidR="001845C0">
        <w:trPr>
          <w:cantSplit/>
          <w:trHeight w:val="237"/>
        </w:trPr>
        <w:tc>
          <w:tcPr>
            <w:tcW w:w="493" w:type="dxa"/>
            <w:vMerge/>
            <w:vAlign w:val="center"/>
          </w:tcPr>
          <w:p w:rsidR="001845C0" w:rsidRDefault="001845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79" w:type="dxa"/>
            <w:vMerge/>
            <w:vAlign w:val="center"/>
          </w:tcPr>
          <w:p w:rsidR="001845C0" w:rsidRDefault="001845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845C0" w:rsidRDefault="001845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850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851" w:type="dxa"/>
          </w:tcPr>
          <w:p w:rsidR="001845C0" w:rsidRDefault="001B2948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2027</w:t>
            </w:r>
          </w:p>
        </w:tc>
        <w:tc>
          <w:tcPr>
            <w:tcW w:w="850" w:type="dxa"/>
          </w:tcPr>
          <w:p w:rsidR="001845C0" w:rsidRDefault="001B2948">
            <w:pPr>
              <w:spacing w:after="0" w:line="240" w:lineRule="auto"/>
              <w:ind w:left="-136" w:right="-15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2028</w:t>
            </w:r>
          </w:p>
        </w:tc>
        <w:tc>
          <w:tcPr>
            <w:tcW w:w="851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2029</w:t>
            </w:r>
          </w:p>
        </w:tc>
        <w:tc>
          <w:tcPr>
            <w:tcW w:w="1417" w:type="dxa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 год</w:t>
            </w:r>
          </w:p>
        </w:tc>
      </w:tr>
      <w:tr w:rsidR="001845C0">
        <w:trPr>
          <w:cantSplit/>
          <w:trHeight w:val="268"/>
        </w:trPr>
        <w:tc>
          <w:tcPr>
            <w:tcW w:w="493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79" w:type="dxa"/>
          </w:tcPr>
          <w:p w:rsidR="001845C0" w:rsidRDefault="001B29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Вовлеченность населения в незаконный оборот наркотиков</w:t>
            </w:r>
          </w:p>
          <w:p w:rsidR="001845C0" w:rsidRDefault="001B29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134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69,1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69,1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69,0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69,0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ind w:left="-136" w:right="-15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68,9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133" w:right="-75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68,9</w:t>
            </w:r>
          </w:p>
        </w:tc>
        <w:tc>
          <w:tcPr>
            <w:tcW w:w="1417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68,8</w:t>
            </w:r>
          </w:p>
        </w:tc>
      </w:tr>
      <w:tr w:rsidR="001845C0">
        <w:trPr>
          <w:cantSplit/>
          <w:trHeight w:val="353"/>
        </w:trPr>
        <w:tc>
          <w:tcPr>
            <w:tcW w:w="493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79" w:type="dxa"/>
            <w:vAlign w:val="center"/>
          </w:tcPr>
          <w:p w:rsidR="001845C0" w:rsidRDefault="001B29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Криминогенность наркомании</w:t>
            </w:r>
          </w:p>
          <w:p w:rsidR="001845C0" w:rsidRDefault="001B29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134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41,3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41,3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41,2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41,2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41,1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41,1</w:t>
            </w:r>
          </w:p>
        </w:tc>
        <w:tc>
          <w:tcPr>
            <w:tcW w:w="1417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41</w:t>
            </w:r>
          </w:p>
        </w:tc>
      </w:tr>
      <w:tr w:rsidR="001845C0">
        <w:trPr>
          <w:cantSplit/>
          <w:trHeight w:val="353"/>
        </w:trPr>
        <w:tc>
          <w:tcPr>
            <w:tcW w:w="493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79" w:type="dxa"/>
            <w:vAlign w:val="center"/>
          </w:tcPr>
          <w:p w:rsidR="001845C0" w:rsidRDefault="001B294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случаев отравления наркотиками </w:t>
            </w:r>
            <w:r>
              <w:rPr>
                <w:rFonts w:ascii="Times New Roman" w:hAnsi="Times New Roman"/>
                <w:lang w:eastAsia="ru-RU"/>
              </w:rPr>
              <w:t>(на 100 тыс. человек)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1,6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1,6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1,5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  <w:tc>
          <w:tcPr>
            <w:tcW w:w="1417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</w:tr>
      <w:tr w:rsidR="001845C0">
        <w:trPr>
          <w:cantSplit/>
          <w:trHeight w:val="353"/>
        </w:trPr>
        <w:tc>
          <w:tcPr>
            <w:tcW w:w="493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79" w:type="dxa"/>
            <w:vAlign w:val="center"/>
          </w:tcPr>
          <w:p w:rsidR="001845C0" w:rsidRDefault="001B294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случаев отравления наркотиками среди несовершеннолетних </w:t>
            </w:r>
            <w:r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134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</w:tr>
      <w:tr w:rsidR="001845C0">
        <w:trPr>
          <w:cantSplit/>
          <w:trHeight w:val="353"/>
        </w:trPr>
        <w:tc>
          <w:tcPr>
            <w:tcW w:w="493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79" w:type="dxa"/>
            <w:vAlign w:val="center"/>
          </w:tcPr>
          <w:p w:rsidR="001845C0" w:rsidRDefault="001B294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случаев смерти в результате потребления наркотиков </w:t>
            </w:r>
            <w:r>
              <w:rPr>
                <w:rFonts w:ascii="Times New Roman" w:hAnsi="Times New Roman"/>
                <w:lang w:eastAsia="ru-RU"/>
              </w:rPr>
              <w:t>(на 100 тыс. человек)</w:t>
            </w:r>
          </w:p>
        </w:tc>
        <w:tc>
          <w:tcPr>
            <w:tcW w:w="1134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1,6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1,6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1,5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12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  <w:tc>
          <w:tcPr>
            <w:tcW w:w="1417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1,4</w:t>
            </w:r>
          </w:p>
        </w:tc>
      </w:tr>
      <w:tr w:rsidR="001845C0">
        <w:trPr>
          <w:cantSplit/>
          <w:trHeight w:val="353"/>
        </w:trPr>
        <w:tc>
          <w:tcPr>
            <w:tcW w:w="493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79" w:type="dxa"/>
            <w:vAlign w:val="center"/>
          </w:tcPr>
          <w:p w:rsidR="001845C0" w:rsidRDefault="001B294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Общая оценка наркоситуации</w:t>
            </w:r>
          </w:p>
        </w:tc>
        <w:tc>
          <w:tcPr>
            <w:tcW w:w="1134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left="-68" w:right="-13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  <w:tc>
          <w:tcPr>
            <w:tcW w:w="850" w:type="dxa"/>
            <w:vAlign w:val="center"/>
          </w:tcPr>
          <w:p w:rsidR="001845C0" w:rsidRDefault="001B2948">
            <w:pPr>
              <w:spacing w:after="0" w:line="240" w:lineRule="auto"/>
              <w:ind w:left="-29" w:right="-15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  <w:tc>
          <w:tcPr>
            <w:tcW w:w="851" w:type="dxa"/>
            <w:vAlign w:val="center"/>
          </w:tcPr>
          <w:p w:rsidR="001845C0" w:rsidRDefault="001B294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  <w:tc>
          <w:tcPr>
            <w:tcW w:w="1417" w:type="dxa"/>
            <w:vAlign w:val="center"/>
          </w:tcPr>
          <w:p w:rsidR="001845C0" w:rsidRDefault="001B294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Нейтральная</w:t>
            </w:r>
          </w:p>
        </w:tc>
      </w:tr>
    </w:tbl>
    <w:p w:rsidR="001845C0" w:rsidRDefault="001B2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значений показателей проводятся по следующим формулам:</w:t>
      </w: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1.«Вовлеченность населения в незаконный оборот наркотиков»:</w:t>
      </w: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Vn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Ap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×100000</m:t>
          </m:r>
        </m:oMath>
      </m:oMathPara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где: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Vn – вовлеченность населения;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P – общее число лиц, совершивших наркопреступления;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Ap – общее число лиц, совершивших административные правонарушения, связанные с незаконным оборотом наркотиков;</w:t>
      </w:r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Po – среднегодовая численность населения.</w:t>
      </w:r>
    </w:p>
    <w:p w:rsidR="001845C0" w:rsidRDefault="001845C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2.«Криминогенность наркомании»:</w:t>
      </w:r>
    </w:p>
    <w:p w:rsidR="001845C0" w:rsidRDefault="001B2948">
      <w:pPr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  <m:oMathPara>
        <m:oMath>
          <m:r>
            <w:rPr>
              <w:rFonts w:ascii="Cambria Math" w:eastAsia="Calibri" w:hAnsi="Cambria Math" w:cs="TimesNewRomanPSMT"/>
              <w:sz w:val="28"/>
              <w:szCs w:val="28"/>
            </w:rPr>
            <m:t>Kn</m:t>
          </m:r>
          <m:r>
            <w:rPr>
              <w:rFonts w:ascii="Cambria Math" w:eastAsia="Calibri" w:hAnsi="Cambria Math" w:cs="TimesNewRomanPSMT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NewRomanPSMT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TimesNewRomanPSMT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NewRomanPSMT"/>
                      <w:sz w:val="28"/>
                      <w:szCs w:val="28"/>
                    </w:rPr>
                    <m:t>Pn</m:t>
                  </m:r>
                  <m:r>
                    <w:rPr>
                      <w:rFonts w:ascii="Cambria Math" w:eastAsia="Calibri" w:hAnsi="Cambria Math" w:cs="TimesNewRomanPSMT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NewRomanPSMT"/>
                      <w:sz w:val="28"/>
                      <w:szCs w:val="28"/>
                    </w:rPr>
                    <m:t>Apn</m:t>
                  </m:r>
                </m:e>
              </m:d>
            </m:num>
            <m:den>
              <m:r>
                <w:rPr>
                  <w:rFonts w:ascii="Cambria Math" w:eastAsia="Calibri" w:hAnsi="Cambria Math" w:cs="TimesNewRomanPSMT"/>
                  <w:sz w:val="28"/>
                  <w:szCs w:val="28"/>
                </w:rPr>
                <m:t>Po</m:t>
              </m:r>
            </m:den>
          </m:f>
          <m:r>
            <w:rPr>
              <w:rFonts w:ascii="Cambria Math" w:eastAsia="Calibri" w:hAnsi="Cambria Math" w:cs="TimesNewRomanPSMT"/>
              <w:sz w:val="28"/>
              <w:szCs w:val="28"/>
            </w:rPr>
            <m:t>×100000</m:t>
          </m:r>
        </m:oMath>
      </m:oMathPara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где: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Kn – криминогенность наркомании;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Pn – число потребителей наркотиков, совершивших общеуголовные преступления;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Apn – число лиц, совершивших административные правонарушения, связанные с потреблением наркотиков либо в состоянии наркотического опьянения;</w:t>
      </w:r>
    </w:p>
    <w:p w:rsidR="001845C0" w:rsidRDefault="001B29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Po – среднегодовая численность населени</w:t>
      </w:r>
      <w:r>
        <w:rPr>
          <w:rFonts w:ascii="Times New Roman" w:eastAsia="Calibri" w:hAnsi="Times New Roman"/>
          <w:sz w:val="28"/>
          <w:szCs w:val="28"/>
        </w:rPr>
        <w:t>я.</w:t>
      </w:r>
    </w:p>
    <w:p w:rsidR="001845C0" w:rsidRDefault="001845C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3.«Количество случаев отравления наркотиками»:</w:t>
      </w:r>
    </w:p>
    <w:p w:rsidR="001845C0" w:rsidRDefault="001B2948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m:oMathPara>
        <m:oMath>
          <m:r>
            <w:rPr>
              <w:rFonts w:ascii="Cambria Math" w:eastAsia="Calibri" w:hAnsi="Cambria Math" w:cs="TimesNewRomanPSMT"/>
              <w:sz w:val="28"/>
              <w:szCs w:val="28"/>
            </w:rPr>
            <m:t>Q</m:t>
          </m:r>
          <m:r>
            <w:rPr>
              <w:rFonts w:ascii="Cambria Math" w:eastAsia="Calibri" w:hAnsi="Cambria Math" w:cs="TimesNewRomanPSMT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NewRomanPSMT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NewRomanPSMT"/>
                  <w:sz w:val="28"/>
                  <w:szCs w:val="28"/>
                </w:rPr>
                <m:t>Qn</m:t>
              </m:r>
            </m:num>
            <m:den>
              <m:r>
                <w:rPr>
                  <w:rFonts w:ascii="Cambria Math" w:eastAsia="Calibri" w:hAnsi="Cambria Math" w:cs="TimesNewRomanPSMT"/>
                  <w:sz w:val="28"/>
                  <w:szCs w:val="28"/>
                </w:rPr>
                <m:t>Po</m:t>
              </m:r>
            </m:den>
          </m:f>
          <m:r>
            <w:rPr>
              <w:rFonts w:ascii="Cambria Math" w:eastAsia="Calibri" w:hAnsi="Cambria Math" w:cs="TimesNewRomanPSMT"/>
              <w:sz w:val="28"/>
              <w:szCs w:val="28"/>
            </w:rPr>
            <m:t>×100000</m:t>
          </m:r>
        </m:oMath>
      </m:oMathPara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где:</w:t>
      </w:r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Q – острые отравления наркотиками;</w:t>
      </w:r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Qn – количество случаев острых отравлений наркотиками всего;</w:t>
      </w:r>
    </w:p>
    <w:p w:rsidR="001845C0" w:rsidRDefault="001B294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Po – среднегодовая численность населения.</w:t>
      </w:r>
    </w:p>
    <w:p w:rsidR="001845C0" w:rsidRDefault="001845C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4.«Количество случаев отравления наркотика</w:t>
      </w:r>
      <w:r>
        <w:rPr>
          <w:rFonts w:ascii="Times New Roman" w:hAnsi="Times New Roman"/>
          <w:b/>
          <w:bCs/>
          <w:sz w:val="28"/>
          <w:szCs w:val="28"/>
        </w:rPr>
        <w:t xml:space="preserve">ми среди несовершеннолетних»: </w:t>
      </w:r>
    </w:p>
    <w:p w:rsidR="001845C0" w:rsidRDefault="001B2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Qm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Qd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Qp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Pd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×100000</m:t>
          </m:r>
        </m:oMath>
      </m:oMathPara>
    </w:p>
    <w:p w:rsidR="001845C0" w:rsidRDefault="001B2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Qm – острые отравления наркотиками среди несовершеннолетних;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Qd – количество случаев острых отравлений наркотиками среди детей в возрасте 0-14 лет;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Qp – количество случаев острых отравлений наркотиками среди подростков в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возрасте 15-17 лет;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Pd – среднегодовая численность населения в возрасте 0-17 лет.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5.«Количество случаев смерти в результате потребления наркотиков»:</w:t>
      </w:r>
    </w:p>
    <w:p w:rsidR="001845C0" w:rsidRDefault="001B294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Dn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Dp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Po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×100000</m:t>
          </m:r>
        </m:oMath>
      </m:oMathPara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 – смертность, связанная с острым отравлением наркотиками (по данным судебно-медицинской экспертизы);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Dn – количество случаев смертельных отравлений наркотическими средствами;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Dp – количество случаев смертельных отравлений психотропными веществами;</w:t>
      </w:r>
    </w:p>
    <w:p w:rsidR="001845C0" w:rsidRDefault="001B2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– с</w:t>
      </w:r>
      <w:r>
        <w:rPr>
          <w:rFonts w:ascii="Times New Roman" w:hAnsi="Times New Roman"/>
          <w:sz w:val="28"/>
          <w:szCs w:val="28"/>
        </w:rPr>
        <w:t>реднегодовая численность населения.</w:t>
      </w:r>
    </w:p>
    <w:p w:rsidR="001845C0" w:rsidRDefault="00184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5C0" w:rsidRDefault="001B294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6.«Общая оценка наркоситуации» </w:t>
      </w:r>
      <w:r>
        <w:rPr>
          <w:rFonts w:ascii="Times New Roman" w:eastAsia="Calibri" w:hAnsi="Times New Roman"/>
          <w:bCs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пределяется в пределах ежегодного мониторинга наркоситуации в соответствии с Методикой и порядком осуществления мониторинга, а также критериями оценки развития наркоситуации в Российской </w:t>
      </w:r>
      <w:r>
        <w:rPr>
          <w:rFonts w:ascii="Times New Roman" w:eastAsia="Calibri" w:hAnsi="Times New Roman"/>
          <w:sz w:val="28"/>
          <w:szCs w:val="28"/>
        </w:rPr>
        <w:t>Федерации и ее субъектах, утверждаемыми протоколами заседаний Государственного антинаркотического комитета.</w:t>
      </w:r>
    </w:p>
    <w:p w:rsidR="001845C0" w:rsidRDefault="001845C0">
      <w:pPr>
        <w:pStyle w:val="ConsPlusNonformat"/>
        <w:widowControl/>
      </w:pPr>
      <w:bookmarkStart w:id="0" w:name="_GoBack"/>
      <w:bookmarkEnd w:id="0"/>
    </w:p>
    <w:sectPr w:rsidR="001845C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48" w:rsidRDefault="001B2948">
      <w:pPr>
        <w:spacing w:after="0" w:line="240" w:lineRule="auto"/>
      </w:pPr>
      <w:r>
        <w:separator/>
      </w:r>
    </w:p>
  </w:endnote>
  <w:endnote w:type="continuationSeparator" w:id="0">
    <w:p w:rsidR="001B2948" w:rsidRDefault="001B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48" w:rsidRDefault="001B2948">
      <w:pPr>
        <w:spacing w:after="0" w:line="240" w:lineRule="auto"/>
      </w:pPr>
      <w:r>
        <w:separator/>
      </w:r>
    </w:p>
  </w:footnote>
  <w:footnote w:type="continuationSeparator" w:id="0">
    <w:p w:rsidR="001B2948" w:rsidRDefault="001B2948">
      <w:pPr>
        <w:spacing w:after="0" w:line="240" w:lineRule="auto"/>
      </w:pPr>
      <w:r>
        <w:continuationSeparator/>
      </w:r>
    </w:p>
  </w:footnote>
  <w:footnote w:id="1">
    <w:p w:rsidR="001845C0" w:rsidRDefault="001B2948">
      <w:pPr>
        <w:pStyle w:val="af9"/>
        <w:ind w:firstLine="426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</w:rPr>
        <w:t>В соответствии с планом работы Антинаркотической комиссии города Нефтеюганска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360103"/>
      <w:docPartObj>
        <w:docPartGallery w:val="Page Numbers (Top of Page)"/>
        <w:docPartUnique/>
      </w:docPartObj>
    </w:sdtPr>
    <w:sdtEndPr/>
    <w:sdtContent>
      <w:p w:rsidR="001845C0" w:rsidRDefault="001B294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F3A">
          <w:rPr>
            <w:noProof/>
          </w:rPr>
          <w:t>10</w:t>
        </w:r>
        <w:r>
          <w:fldChar w:fldCharType="end"/>
        </w:r>
      </w:p>
    </w:sdtContent>
  </w:sdt>
  <w:p w:rsidR="001845C0" w:rsidRDefault="001845C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C0"/>
    <w:rsid w:val="001845C0"/>
    <w:rsid w:val="001B2948"/>
    <w:rsid w:val="007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FBEC"/>
  <w15:docId w15:val="{8C5BEFC8-F581-463B-AF13-445086B4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Times New Roman" w:hAnsi="Calibri" w:cs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</w:rPr>
  </w:style>
  <w:style w:type="paragraph" w:styleId="af9">
    <w:name w:val="footnote text"/>
    <w:basedOn w:val="a"/>
    <w:link w:val="afa"/>
    <w:semiHidden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rPr>
      <w:vertAlign w:val="superscript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03DF-8A75-4715-8203-204E8546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3173</Words>
  <Characters>18088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Елизавета Александровна Кожевникова</cp:lastModifiedBy>
  <cp:revision>4</cp:revision>
  <dcterms:created xsi:type="dcterms:W3CDTF">2025-06-30T06:39:00Z</dcterms:created>
  <dcterms:modified xsi:type="dcterms:W3CDTF">2025-07-21T05:24:00Z</dcterms:modified>
</cp:coreProperties>
</file>