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84F" w:rsidRPr="00922B8F" w:rsidRDefault="00D4784F" w:rsidP="00D4784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2B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итогах работы Антитеррористической комиссии </w:t>
      </w:r>
    </w:p>
    <w:p w:rsidR="00D4784F" w:rsidRDefault="00D4784F" w:rsidP="00D4784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12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города Нефтеюганска за 202</w:t>
      </w:r>
      <w:r w:rsidR="00922B8F" w:rsidRPr="007412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7412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год.</w:t>
      </w:r>
    </w:p>
    <w:p w:rsidR="00CA5EC6" w:rsidRPr="00741209" w:rsidRDefault="00CA5EC6" w:rsidP="00D4784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2B8F" w:rsidRPr="00741209" w:rsidRDefault="00922B8F" w:rsidP="00922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1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отчетный период в сфере профилактики терроризма, минимизации и ликвидации последствий его проявлений на территории муниципального образования принято 17 нормативных актов, в том числе: 12 постановлений администрации города, 4 распоряжения администрации города Нефтеюганска, 1 постановление главы города Нефтеюганска.</w:t>
      </w:r>
    </w:p>
    <w:p w:rsidR="00922B8F" w:rsidRPr="00741209" w:rsidRDefault="00922B8F" w:rsidP="00922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1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 нормативные акты направлены на:</w:t>
      </w:r>
    </w:p>
    <w:p w:rsidR="00922B8F" w:rsidRPr="00741209" w:rsidRDefault="00922B8F" w:rsidP="00922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1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 профилактику терроризма;</w:t>
      </w:r>
    </w:p>
    <w:p w:rsidR="00922B8F" w:rsidRPr="00741209" w:rsidRDefault="00922B8F" w:rsidP="00922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1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-15 по иным вопросам, относящимся к компетенции АТК муниципального образования. </w:t>
      </w:r>
    </w:p>
    <w:p w:rsidR="00922B8F" w:rsidRPr="00741209" w:rsidRDefault="00922B8F" w:rsidP="00922B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1209">
        <w:rPr>
          <w:rFonts w:ascii="Times New Roman" w:eastAsia="Calibri" w:hAnsi="Times New Roman" w:cs="Times New Roman"/>
          <w:sz w:val="28"/>
          <w:szCs w:val="28"/>
        </w:rPr>
        <w:t xml:space="preserve">В 2025 году проведено 4 очередных и 2 внеочередных совместных заседания АТК города Нефтеюганска и Оперативной группы в городе Нефтеюганске. </w:t>
      </w:r>
    </w:p>
    <w:p w:rsidR="00922B8F" w:rsidRPr="00741209" w:rsidRDefault="00922B8F" w:rsidP="00922B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1209">
        <w:rPr>
          <w:rFonts w:ascii="Times New Roman" w:eastAsia="Calibri" w:hAnsi="Times New Roman" w:cs="Times New Roman"/>
          <w:sz w:val="28"/>
          <w:szCs w:val="28"/>
        </w:rPr>
        <w:t>В ходе проведения указанных заседаний Комиссии:</w:t>
      </w:r>
    </w:p>
    <w:p w:rsidR="00922B8F" w:rsidRPr="00922B8F" w:rsidRDefault="00922B8F" w:rsidP="00922B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1209">
        <w:rPr>
          <w:rFonts w:ascii="Times New Roman" w:eastAsia="Calibri" w:hAnsi="Times New Roman" w:cs="Times New Roman"/>
          <w:sz w:val="28"/>
          <w:szCs w:val="28"/>
        </w:rPr>
        <w:t>1) Рассмотрено 24 вопроса, из них</w:t>
      </w:r>
      <w:r w:rsidRPr="00922B8F">
        <w:rPr>
          <w:rFonts w:ascii="Times New Roman" w:eastAsia="Calibri" w:hAnsi="Times New Roman" w:cs="Times New Roman"/>
          <w:sz w:val="28"/>
          <w:szCs w:val="28"/>
        </w:rPr>
        <w:t xml:space="preserve"> по тематике:</w:t>
      </w:r>
    </w:p>
    <w:p w:rsidR="00922B8F" w:rsidRPr="00922B8F" w:rsidRDefault="00922B8F" w:rsidP="00922B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B8F">
        <w:rPr>
          <w:rFonts w:ascii="Times New Roman" w:eastAsia="Calibri" w:hAnsi="Times New Roman" w:cs="Times New Roman"/>
          <w:sz w:val="28"/>
          <w:szCs w:val="28"/>
        </w:rPr>
        <w:t>- 1 АТЗ объектов транспортной инфраструктуры и транспортных средств;</w:t>
      </w:r>
    </w:p>
    <w:p w:rsidR="00922B8F" w:rsidRPr="00922B8F" w:rsidRDefault="00922B8F" w:rsidP="00922B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B8F">
        <w:rPr>
          <w:rFonts w:ascii="Times New Roman" w:eastAsia="Calibri" w:hAnsi="Times New Roman" w:cs="Times New Roman"/>
          <w:sz w:val="28"/>
          <w:szCs w:val="28"/>
        </w:rPr>
        <w:t>- 1 АТЗ топливно-энергетического комплекса;</w:t>
      </w:r>
    </w:p>
    <w:p w:rsidR="00922B8F" w:rsidRPr="00922B8F" w:rsidRDefault="00922B8F" w:rsidP="00922B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B8F">
        <w:rPr>
          <w:rFonts w:ascii="Times New Roman" w:eastAsia="Calibri" w:hAnsi="Times New Roman" w:cs="Times New Roman"/>
          <w:sz w:val="28"/>
          <w:szCs w:val="28"/>
        </w:rPr>
        <w:t>- 5 АТЗ мест массового пребывания людей (в т.ч. реализация ПП РФ по АТЗ объектов, реализация Плана комплексных мероприятий по профилактике терроризма, рассмотрение Реестра объектов возможных террористических посягательств, устранение выявленных недостатков в АТЗ ММПЛ);</w:t>
      </w:r>
    </w:p>
    <w:p w:rsidR="00922B8F" w:rsidRPr="00922B8F" w:rsidRDefault="00922B8F" w:rsidP="00922B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B8F">
        <w:rPr>
          <w:rFonts w:ascii="Times New Roman" w:eastAsia="Calibri" w:hAnsi="Times New Roman" w:cs="Times New Roman"/>
          <w:sz w:val="28"/>
          <w:szCs w:val="28"/>
        </w:rPr>
        <w:t>- 4 АТЗ объектов, задействованных в проведении важных общественно-политических и спортивных мероприятий в т.ч. 1 мая, 9 мая, День России, День знаний, Рождество Христово и Крещения Господне, День работников нефтяной и газовой промышленности, Кросс Нации - 2025, День народного единства, Новый год);</w:t>
      </w:r>
    </w:p>
    <w:p w:rsidR="00922B8F" w:rsidRPr="00922B8F" w:rsidRDefault="00922B8F" w:rsidP="00922B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B8F">
        <w:rPr>
          <w:rFonts w:ascii="Times New Roman" w:eastAsia="Calibri" w:hAnsi="Times New Roman" w:cs="Times New Roman"/>
          <w:sz w:val="28"/>
          <w:szCs w:val="28"/>
        </w:rPr>
        <w:t>-3 реализации мероприятий Комплексного плана противодействия идеологии терроризму (в т.ч. рассмотрение результатов мониторинга, социологических исследований, реализация каких-либо иных «точечных» мероприятий в сфере противодействия идеологии терроризма);</w:t>
      </w:r>
    </w:p>
    <w:p w:rsidR="00922B8F" w:rsidRPr="00922B8F" w:rsidRDefault="00922B8F" w:rsidP="00922B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B8F">
        <w:rPr>
          <w:rFonts w:ascii="Times New Roman" w:eastAsia="Calibri" w:hAnsi="Times New Roman" w:cs="Times New Roman"/>
          <w:sz w:val="28"/>
          <w:szCs w:val="28"/>
        </w:rPr>
        <w:t>- 4 исполнения решений НАК, АТК ХМАО – Югры и АТК МО;</w:t>
      </w:r>
    </w:p>
    <w:p w:rsidR="00922B8F" w:rsidRPr="00922B8F" w:rsidRDefault="00922B8F" w:rsidP="00922B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B8F">
        <w:rPr>
          <w:rFonts w:ascii="Times New Roman" w:eastAsia="Calibri" w:hAnsi="Times New Roman" w:cs="Times New Roman"/>
          <w:sz w:val="28"/>
          <w:szCs w:val="28"/>
        </w:rPr>
        <w:t>- 1 организационных вопросов (в т.ч. утверждение документов, планов, отчетов, программ и т.п.);</w:t>
      </w:r>
    </w:p>
    <w:p w:rsidR="00922B8F" w:rsidRPr="00922B8F" w:rsidRDefault="00922B8F" w:rsidP="00922B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B8F">
        <w:rPr>
          <w:rFonts w:ascii="Times New Roman" w:eastAsia="Calibri" w:hAnsi="Times New Roman" w:cs="Times New Roman"/>
          <w:sz w:val="28"/>
          <w:szCs w:val="28"/>
        </w:rPr>
        <w:t>- 5 иное.</w:t>
      </w:r>
    </w:p>
    <w:p w:rsidR="00922B8F" w:rsidRPr="00922B8F" w:rsidRDefault="00922B8F" w:rsidP="00922B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B8F">
        <w:rPr>
          <w:rFonts w:ascii="Times New Roman" w:eastAsia="Calibri" w:hAnsi="Times New Roman" w:cs="Times New Roman"/>
          <w:sz w:val="28"/>
          <w:szCs w:val="28"/>
        </w:rPr>
        <w:t>2) Заслушано 93 должностных лица, из них:</w:t>
      </w:r>
    </w:p>
    <w:p w:rsidR="00922B8F" w:rsidRPr="00922B8F" w:rsidRDefault="00922B8F" w:rsidP="00922B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B8F">
        <w:rPr>
          <w:rFonts w:ascii="Times New Roman" w:eastAsia="Calibri" w:hAnsi="Times New Roman" w:cs="Times New Roman"/>
          <w:sz w:val="28"/>
          <w:szCs w:val="28"/>
        </w:rPr>
        <w:t>- 74 члена АТК муниципального образования;</w:t>
      </w:r>
    </w:p>
    <w:p w:rsidR="00922B8F" w:rsidRPr="00922B8F" w:rsidRDefault="00922B8F" w:rsidP="00922B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B8F">
        <w:rPr>
          <w:rFonts w:ascii="Times New Roman" w:eastAsia="Calibri" w:hAnsi="Times New Roman" w:cs="Times New Roman"/>
          <w:sz w:val="28"/>
          <w:szCs w:val="28"/>
        </w:rPr>
        <w:t>- 0 представителей иных подразделений территориальных органов федеральных органов исполнительной власти  не входящих в состав АТК МО;</w:t>
      </w:r>
    </w:p>
    <w:p w:rsidR="00922B8F" w:rsidRPr="00922B8F" w:rsidRDefault="00922B8F" w:rsidP="00922B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B8F">
        <w:rPr>
          <w:rFonts w:ascii="Times New Roman" w:eastAsia="Calibri" w:hAnsi="Times New Roman" w:cs="Times New Roman"/>
          <w:sz w:val="28"/>
          <w:szCs w:val="28"/>
        </w:rPr>
        <w:t>- 16 руководителей (представителей) хозяйствующих субъектов в различных сферах деятельности;</w:t>
      </w:r>
    </w:p>
    <w:p w:rsidR="00922B8F" w:rsidRPr="00922B8F" w:rsidRDefault="00922B8F" w:rsidP="00922B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B8F">
        <w:rPr>
          <w:rFonts w:ascii="Times New Roman" w:eastAsia="Calibri" w:hAnsi="Times New Roman" w:cs="Times New Roman"/>
          <w:sz w:val="28"/>
          <w:szCs w:val="28"/>
        </w:rPr>
        <w:t>- 3 руководителей постоянно действующих рабочих групп АТК МО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1D49" w:rsidRPr="00922B8F" w:rsidRDefault="00DE1D49" w:rsidP="00922B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B8F">
        <w:rPr>
          <w:rFonts w:ascii="Times New Roman" w:eastAsia="Calibri" w:hAnsi="Times New Roman" w:cs="Times New Roman"/>
          <w:sz w:val="28"/>
          <w:szCs w:val="28"/>
        </w:rPr>
        <w:t>Приоритетными задачами в деятельности Антитеррористической комиссии города Нефтеюганска считались:</w:t>
      </w:r>
    </w:p>
    <w:p w:rsidR="00797449" w:rsidRPr="00797449" w:rsidRDefault="00797449" w:rsidP="0079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449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7974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97449">
        <w:rPr>
          <w:rFonts w:ascii="Times New Roman" w:eastAsia="Times New Roman" w:hAnsi="Times New Roman" w:cs="Times New Roman"/>
          <w:sz w:val="28"/>
          <w:szCs w:val="28"/>
        </w:rPr>
        <w:t>рганизация работы по подготовке и проведению Единого дня голосования;</w:t>
      </w:r>
    </w:p>
    <w:p w:rsidR="00797449" w:rsidRPr="00797449" w:rsidRDefault="00797449" w:rsidP="0079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449">
        <w:rPr>
          <w:rFonts w:ascii="Times New Roman" w:eastAsia="Times New Roman" w:hAnsi="Times New Roman" w:cs="Times New Roman"/>
          <w:sz w:val="28"/>
          <w:szCs w:val="28"/>
        </w:rPr>
        <w:lastRenderedPageBreak/>
        <w:t>2.Участие в региональном проекте «Развитие региональной системы деятельности экспертов-наставников в сфере профилактики терроризма и противодействия его идеологии»</w:t>
      </w:r>
    </w:p>
    <w:p w:rsidR="00797449" w:rsidRPr="00797449" w:rsidRDefault="00797449" w:rsidP="007974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49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79744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Актуализация документации и порядка действий при поступлении сигнала «Загорск»;</w:t>
      </w:r>
    </w:p>
    <w:p w:rsidR="00797449" w:rsidRPr="00797449" w:rsidRDefault="00797449" w:rsidP="00797449">
      <w:pPr>
        <w:widowControl w:val="0"/>
        <w:shd w:val="clear" w:color="auto" w:fill="FFFFFF"/>
        <w:tabs>
          <w:tab w:val="left" w:pos="9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9744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Совершенствование:</w:t>
      </w:r>
    </w:p>
    <w:p w:rsidR="00797449" w:rsidRPr="00797449" w:rsidRDefault="00797449" w:rsidP="0079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449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797449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проведения мониторинга политических, социально-экономических и иных процессов, оказывающих влияние на ситуацию в сфере противодействия терроризму</w:t>
      </w:r>
      <w:r w:rsidRPr="0079744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7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координации работы по формированию объективного представления о складывающейся обстановке, а также своевременного информирования Аппарата АТК автономного округа о возникновении проблемных вопросов </w:t>
      </w:r>
      <w:r w:rsidRPr="007974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т.ч. предложений по устранению выявленных причин, условий и обстоятельств формирования в регионе террористических угроз)</w:t>
      </w:r>
      <w:r w:rsidRPr="00797449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требующих рассмотрения на уровне АТК региона</w:t>
      </w:r>
      <w:r w:rsidRPr="00797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97449" w:rsidRPr="00797449" w:rsidRDefault="00797449" w:rsidP="0079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449">
        <w:rPr>
          <w:rFonts w:ascii="Times New Roman" w:eastAsia="Times New Roman" w:hAnsi="Times New Roman" w:cs="Times New Roman"/>
          <w:sz w:val="28"/>
          <w:szCs w:val="28"/>
        </w:rPr>
        <w:t>5.Эффективности проведения мониторинга АТЗ объектов, расположенных на территории муниципальных образований, для которых установлены специальные требования безопасности;</w:t>
      </w:r>
    </w:p>
    <w:p w:rsidR="00797449" w:rsidRPr="00797449" w:rsidRDefault="00797449" w:rsidP="0079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49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79744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 АТЗ объектов возможных террористических посягательств в ходе реализации требований Федеральных законов от 9 февраля 2007 года № 16-ФЗ</w:t>
      </w:r>
      <w:r w:rsidRPr="0079744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79744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21 июля 2011 года № 256-ФЗ</w:t>
      </w:r>
      <w:r w:rsidRPr="0079744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"/>
      </w:r>
      <w:r w:rsidRPr="0079744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Правительства РФ от 3 августа 2024 года № 1046</w:t>
      </w:r>
      <w:r w:rsidRPr="0079744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4"/>
      </w:r>
      <w:r w:rsidRPr="007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постановлений Правительства РФ, регламентирующих требования по обеспечению АТЗ объектов </w:t>
      </w:r>
      <w:r w:rsidRPr="007974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(территорий)</w:t>
      </w:r>
      <w:r w:rsidRPr="0079744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5"/>
      </w:r>
      <w:r w:rsidRPr="0079744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задействованных в обеспечении СВО, а также в проведении важных общественно-политических, культурных и спортивных мероприятий</w:t>
      </w:r>
    </w:p>
    <w:p w:rsidR="00797449" w:rsidRPr="00797449" w:rsidRDefault="00797449" w:rsidP="0079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449">
        <w:rPr>
          <w:rFonts w:ascii="Times New Roman" w:eastAsia="Times New Roman" w:hAnsi="Times New Roman" w:cs="Times New Roman"/>
          <w:sz w:val="28"/>
          <w:szCs w:val="28"/>
        </w:rPr>
        <w:t>7.М</w:t>
      </w:r>
      <w:r w:rsidRPr="007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аксимальное задействование </w:t>
      </w:r>
      <w:r w:rsidRPr="007974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 компетенции)</w:t>
      </w:r>
      <w:r w:rsidRPr="007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потенциала всех ОМСУ в реализации мероприятий по профилактике терроризма, минимизации и (или) ликвидации последствий его проявлений,</w:t>
      </w:r>
      <w:r w:rsidRPr="00797449">
        <w:rPr>
          <w:rFonts w:ascii="Times New Roman" w:eastAsia="Times New Roman" w:hAnsi="Times New Roman" w:cs="Times New Roman"/>
          <w:sz w:val="28"/>
          <w:szCs w:val="28"/>
        </w:rPr>
        <w:t xml:space="preserve"> а также комплекса дополнительных мер, предусмотренных указами Президента РФ от 14 июня </w:t>
      </w:r>
      <w:r w:rsidRPr="00797449">
        <w:rPr>
          <w:rFonts w:ascii="Times New Roman" w:eastAsia="Times New Roman" w:hAnsi="Times New Roman" w:cs="Times New Roman"/>
          <w:sz w:val="28"/>
          <w:szCs w:val="28"/>
          <w:lang w:eastAsia="ru-RU"/>
        </w:rPr>
        <w:t>2012 года № 851</w:t>
      </w:r>
      <w:r w:rsidRPr="0079744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6"/>
      </w:r>
      <w:r w:rsidRPr="007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r w:rsidRPr="00797449">
        <w:rPr>
          <w:rFonts w:ascii="Times New Roman" w:eastAsia="Times New Roman" w:hAnsi="Times New Roman" w:cs="Times New Roman"/>
          <w:sz w:val="28"/>
          <w:szCs w:val="28"/>
        </w:rPr>
        <w:t>от 19 октября 2022 года № 757</w:t>
      </w:r>
      <w:r w:rsidRPr="00797449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7"/>
      </w:r>
      <w:r w:rsidRPr="00797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7449" w:rsidRPr="00797449" w:rsidRDefault="00797449" w:rsidP="0079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449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7974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охвата населения профилактическими мероприятиями с доведением информации о преступной сущности терроризма и идей национализма и неонацизма привитием традиционных российских духовно-нравственных ценностей, разъяснением ответственности за совершение ПТН путем включения антитеррористической тематики в повестку общественно-культурных, спортивных и досуговых мероприятий</w:t>
      </w:r>
      <w:r w:rsidRPr="00797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7449" w:rsidRPr="00797449" w:rsidRDefault="00797449" w:rsidP="0079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49">
        <w:rPr>
          <w:rFonts w:ascii="Times New Roman" w:eastAsia="Times New Roman" w:hAnsi="Times New Roman" w:cs="Times New Roman"/>
          <w:sz w:val="28"/>
          <w:szCs w:val="28"/>
        </w:rPr>
        <w:lastRenderedPageBreak/>
        <w:t>9.</w:t>
      </w:r>
      <w:r w:rsidRPr="007974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адресной профилактической работы с лицами, подверженными воздействию идеологии терроризма и идей национализма и неонацизма, посредством привлечения к участию в профилактических мероприятиях лидеров общественного мнения, авторитетных представителей региональных, общественных и некоммерческих организаций, участников СВО и волонтеров.</w:t>
      </w:r>
    </w:p>
    <w:p w:rsidR="00797449" w:rsidRPr="00797449" w:rsidRDefault="00797449" w:rsidP="0079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49">
        <w:rPr>
          <w:rFonts w:ascii="Times New Roman" w:eastAsia="Times New Roman" w:hAnsi="Times New Roman" w:cs="Times New Roman"/>
          <w:sz w:val="28"/>
          <w:szCs w:val="28"/>
          <w:lang w:eastAsia="ru-RU"/>
        </w:rPr>
        <w:t>10.Формирование необходимых условий для выявления конкретных лиц, подверженных воздействию идеологии терроризма и идей национализма и неонацизма</w:t>
      </w:r>
      <w:r w:rsidRPr="0079744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8"/>
      </w:r>
      <w:r w:rsidRPr="007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подпавших под их влияние, для организации с ними своевременной индивидуальной профилактической работы с привлечением квалифицированных специалистов.</w:t>
      </w:r>
    </w:p>
    <w:p w:rsidR="00797449" w:rsidRPr="00797449" w:rsidRDefault="00797449" w:rsidP="0079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449">
        <w:rPr>
          <w:rFonts w:ascii="Times New Roman" w:eastAsia="Times New Roman" w:hAnsi="Times New Roman" w:cs="Times New Roman"/>
          <w:sz w:val="28"/>
          <w:szCs w:val="28"/>
        </w:rPr>
        <w:t>11.Подготовку качественного антитеррористического контента и его продвижение на популярных у молодежи площадках, прежде всего в сети Интернет, с задействованием лидеров общественного мнения, блогеров, известных деятелей культуры и спорта.</w:t>
      </w:r>
    </w:p>
    <w:p w:rsidR="00797449" w:rsidRPr="00797449" w:rsidRDefault="00797449" w:rsidP="0079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797449">
        <w:rPr>
          <w:rFonts w:ascii="Times New Roman" w:eastAsia="Times New Roman" w:hAnsi="Times New Roman" w:cs="Times New Roman"/>
          <w:sz w:val="28"/>
          <w:szCs w:val="28"/>
        </w:rPr>
        <w:t>12.</w:t>
      </w:r>
      <w:r w:rsidRPr="0079744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97449">
        <w:rPr>
          <w:rFonts w:ascii="Times New Roman" w:eastAsia="Times New Roman" w:hAnsi="Times New Roman" w:cs="Times New Roman"/>
          <w:sz w:val="28"/>
          <w:szCs w:val="28"/>
        </w:rPr>
        <w:t>овершенствование координации деятельности заинтересованных субъектов профилактики терроризма по планированию и реализации комплексных мер, направленных на обеспечение АТЗ объектов и населения в период подготовки и проведения важных общественно-политических, спортивных, культурных и религиозных мероприятий федерального, регионального и муниципального уровней.</w:t>
      </w:r>
    </w:p>
    <w:p w:rsidR="00797449" w:rsidRPr="00797449" w:rsidRDefault="00797449" w:rsidP="0079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79744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Справочно:</w:t>
      </w:r>
    </w:p>
    <w:p w:rsidR="00797449" w:rsidRPr="00797449" w:rsidRDefault="00797449" w:rsidP="0079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97449">
        <w:rPr>
          <w:rFonts w:ascii="Times New Roman" w:eastAsia="Times New Roman" w:hAnsi="Times New Roman" w:cs="Times New Roman"/>
          <w:i/>
          <w:sz w:val="24"/>
          <w:szCs w:val="24"/>
        </w:rPr>
        <w:t xml:space="preserve">- День защитника Отечества (22-23.02.2025), Международный женский день (08-09.03.2025), Лыжня России, Ураза-байрам (29-30.03.2025), Православная Пасха (20.04.2025), Праздник весны и труда (01-04.05.2025), День победы (08-11.05.2025), Курбан-байрам (06-08.06.2025), День России (12-15.06.2025), </w:t>
      </w:r>
      <w:r w:rsidRPr="0079744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«Выпускник 2025» (июнь 2025), </w:t>
      </w:r>
      <w:r w:rsidRPr="00797449">
        <w:rPr>
          <w:rFonts w:ascii="Times New Roman" w:eastAsia="Times New Roman" w:hAnsi="Times New Roman" w:cs="Times New Roman"/>
          <w:i/>
          <w:sz w:val="24"/>
          <w:szCs w:val="24"/>
        </w:rPr>
        <w:t>День знаний (01.09.2025), Кросс Нации, День солидарности в борьбе с терроризмом (03.09.2025),   День работников нефтяной и газовой промышленности (30.08.2025), Единый день голосования (13-14.09.2025), День народного Единства (02-04.11.2025), Новый год, Рождество Христово и Крещение Господне.</w:t>
      </w:r>
    </w:p>
    <w:p w:rsidR="00797449" w:rsidRPr="00797449" w:rsidRDefault="00797449" w:rsidP="0079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449">
        <w:rPr>
          <w:rFonts w:ascii="Times New Roman" w:eastAsia="Times New Roman" w:hAnsi="Times New Roman" w:cs="Times New Roman"/>
          <w:sz w:val="28"/>
          <w:szCs w:val="28"/>
        </w:rPr>
        <w:t xml:space="preserve">13.Совершенствование качества профессиональной подготовки сотрудников Аппарата АТК города Нефтеюганска и иных должностных лиц, ответственных за организацию работы в сфере профилактики терроризма, противодействия распространению </w:t>
      </w:r>
      <w:r w:rsidRPr="0079744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идеологии</w:t>
      </w:r>
      <w:r w:rsidRPr="0079744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9"/>
      </w:r>
      <w:r w:rsidRPr="0079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97449">
        <w:rPr>
          <w:rFonts w:ascii="Times New Roman" w:eastAsia="Times New Roman" w:hAnsi="Times New Roman" w:cs="Times New Roman"/>
          <w:sz w:val="28"/>
          <w:szCs w:val="28"/>
        </w:rPr>
        <w:t>а также за проведение Мониторинга.</w:t>
      </w:r>
    </w:p>
    <w:p w:rsidR="00797449" w:rsidRPr="00797449" w:rsidRDefault="00797449" w:rsidP="0079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449">
        <w:rPr>
          <w:rFonts w:ascii="Times New Roman" w:eastAsia="Times New Roman" w:hAnsi="Times New Roman" w:cs="Times New Roman"/>
          <w:sz w:val="28"/>
          <w:szCs w:val="28"/>
        </w:rPr>
        <w:t>14.Укрепление структурных подразделений, осуществляющих организационное и материально-техническое обеспечение деятельности АТК города Нефтеюганска (Аппарата АТК города Нефтеюганска), принятие мер по их комплектованию профессионально подготовленными сотрудниками.</w:t>
      </w:r>
    </w:p>
    <w:p w:rsidR="00797449" w:rsidRPr="00797449" w:rsidRDefault="00797449" w:rsidP="0079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449">
        <w:rPr>
          <w:rFonts w:ascii="Times New Roman" w:eastAsia="Times New Roman" w:hAnsi="Times New Roman" w:cs="Times New Roman"/>
          <w:sz w:val="28"/>
          <w:szCs w:val="28"/>
        </w:rPr>
        <w:lastRenderedPageBreak/>
        <w:t>15.Совершенствование правового регулирования деятельности в сфере профилактики терроризма и противодействия его идеологии.</w:t>
      </w:r>
    </w:p>
    <w:p w:rsidR="00797449" w:rsidRPr="00797449" w:rsidRDefault="00797449" w:rsidP="0079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449">
        <w:rPr>
          <w:rFonts w:ascii="Times New Roman" w:eastAsia="Times New Roman" w:hAnsi="Times New Roman" w:cs="Times New Roman"/>
          <w:sz w:val="28"/>
          <w:szCs w:val="28"/>
        </w:rPr>
        <w:t>16.Корректировка (при необходимости) и реализация муниципальной программы «Профилактика терроризма в городе Нефтеюганске».</w:t>
      </w:r>
    </w:p>
    <w:p w:rsidR="00797449" w:rsidRPr="00797449" w:rsidRDefault="00797449" w:rsidP="0079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449">
        <w:rPr>
          <w:rFonts w:ascii="Times New Roman" w:eastAsia="Times New Roman" w:hAnsi="Times New Roman" w:cs="Times New Roman"/>
          <w:sz w:val="28"/>
          <w:szCs w:val="28"/>
        </w:rPr>
        <w:t>17.</w:t>
      </w:r>
      <w:r w:rsidRPr="0079744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97449">
        <w:rPr>
          <w:rFonts w:ascii="Times New Roman" w:eastAsia="Times New Roman" w:hAnsi="Times New Roman" w:cs="Times New Roman"/>
          <w:sz w:val="28"/>
          <w:szCs w:val="28"/>
        </w:rPr>
        <w:t>азработка регионального Плана комплексных мероприятий по профилактике терроризма на 2026-2031 годы.</w:t>
      </w:r>
    </w:p>
    <w:p w:rsidR="00797449" w:rsidRPr="00797449" w:rsidRDefault="00797449" w:rsidP="0079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449">
        <w:rPr>
          <w:rFonts w:ascii="Times New Roman" w:eastAsia="Times New Roman" w:hAnsi="Times New Roman" w:cs="Times New Roman"/>
          <w:sz w:val="28"/>
          <w:szCs w:val="28"/>
        </w:rPr>
        <w:t>18.Корректировка планов действий ОМСУ при установлении уровней террористической опасности.</w:t>
      </w:r>
    </w:p>
    <w:p w:rsidR="00797449" w:rsidRPr="00797449" w:rsidRDefault="00797449" w:rsidP="0079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449"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Pr="00797449">
        <w:rPr>
          <w:rFonts w:ascii="Times New Roman" w:eastAsia="Times New Roman" w:hAnsi="Times New Roman" w:cs="Times New Roman"/>
          <w:sz w:val="28"/>
          <w:szCs w:val="28"/>
        </w:rPr>
        <w:t>Осуществление оценки эффективности и качества деятельности заинтересованных органов территориальных органов федеральных органов и органов/структурных подразделений администрации города при реализации мероприятий по предупреждению терроризма, предусмотренных:</w:t>
      </w:r>
    </w:p>
    <w:p w:rsidR="00797449" w:rsidRPr="00797449" w:rsidRDefault="00797449" w:rsidP="0079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449">
        <w:rPr>
          <w:rFonts w:ascii="Times New Roman" w:eastAsia="Times New Roman" w:hAnsi="Times New Roman" w:cs="Times New Roman"/>
          <w:sz w:val="28"/>
          <w:szCs w:val="28"/>
        </w:rPr>
        <w:t>-«Планом комплексных мероприятий по профилактике терроризма и реализации на территории Ханты-Мансийского автономного округа – Югры Концепции противодействия терроризму в Российской Федерации на 2021-2025 годы»</w:t>
      </w:r>
      <w:r w:rsidRPr="001B469C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0"/>
      </w:r>
      <w:r w:rsidRPr="007974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97449" w:rsidRPr="00797449" w:rsidRDefault="00797449" w:rsidP="0079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44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97449">
        <w:rPr>
          <w:rFonts w:ascii="Times New Roman" w:eastAsia="Times New Roman" w:hAnsi="Times New Roman" w:cs="Times New Roman"/>
          <w:sz w:val="28"/>
          <w:szCs w:val="28"/>
          <w:lang w:eastAsia="ru-RU"/>
        </w:rPr>
        <w:t>«Планом комплексных мероприятий по профилактике терроризма и реализации на территории муниципального образования город Нефтеюганск Концепции противодействия терроризму в Российской Федерации на 2021-2025 годы»</w:t>
      </w:r>
      <w:r w:rsidRPr="001B46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1"/>
      </w:r>
      <w:r w:rsidRPr="007974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7449" w:rsidRPr="00797449" w:rsidRDefault="00797449" w:rsidP="0079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449">
        <w:rPr>
          <w:rFonts w:ascii="Times New Roman" w:eastAsia="Times New Roman" w:hAnsi="Times New Roman" w:cs="Times New Roman"/>
          <w:sz w:val="28"/>
          <w:szCs w:val="28"/>
        </w:rPr>
        <w:t>-«Комплексным планом противодействия идеологии терроризма в Ханты-Мансийском автономном округе – Югре на 2024 - 2028 годы»</w:t>
      </w:r>
      <w:r w:rsidRPr="001B469C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2"/>
      </w:r>
      <w:r w:rsidRPr="0079744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97449" w:rsidRPr="00797449" w:rsidRDefault="00797449" w:rsidP="0079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449">
        <w:rPr>
          <w:rFonts w:ascii="Times New Roman" w:eastAsia="Times New Roman" w:hAnsi="Times New Roman" w:cs="Times New Roman"/>
          <w:sz w:val="28"/>
          <w:szCs w:val="28"/>
        </w:rPr>
        <w:t>-«Комплексным планом противодействия идеологии терроризма в городе Нефтеюганске на 2024 - 2028 годы»</w:t>
      </w:r>
      <w:r w:rsidRPr="001B469C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3"/>
      </w:r>
    </w:p>
    <w:p w:rsidR="00797449" w:rsidRPr="00797449" w:rsidRDefault="00797449" w:rsidP="0079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449">
        <w:rPr>
          <w:rFonts w:ascii="Times New Roman" w:eastAsia="Times New Roman" w:hAnsi="Times New Roman" w:cs="Times New Roman"/>
          <w:sz w:val="28"/>
          <w:szCs w:val="28"/>
        </w:rPr>
        <w:t>-Муниципальной программой «Профилактика терроризма в городе Нефтеюганске»</w:t>
      </w:r>
      <w:r w:rsidRPr="001B469C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4"/>
      </w:r>
      <w:r w:rsidRPr="00797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7449" w:rsidRPr="00797449" w:rsidRDefault="00797449" w:rsidP="0079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449">
        <w:rPr>
          <w:rFonts w:ascii="Times New Roman" w:eastAsia="Times New Roman" w:hAnsi="Times New Roman" w:cs="Times New Roman"/>
          <w:sz w:val="28"/>
          <w:szCs w:val="28"/>
        </w:rPr>
        <w:t>20.Совершенствование работы по информационному сопровождению:</w:t>
      </w:r>
    </w:p>
    <w:p w:rsidR="00797449" w:rsidRPr="00797449" w:rsidRDefault="00797449" w:rsidP="0079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449">
        <w:rPr>
          <w:rFonts w:ascii="Times New Roman" w:eastAsia="Times New Roman" w:hAnsi="Times New Roman" w:cs="Times New Roman"/>
          <w:sz w:val="28"/>
          <w:szCs w:val="28"/>
        </w:rPr>
        <w:t>а)деятельности органов/структурных подразделений администрации города Нефтеюганска в сфере профилактики терроризма и противодействия распространению его идеологии в СМИ, а также в сети Интернет;</w:t>
      </w:r>
    </w:p>
    <w:p w:rsidR="00797449" w:rsidRPr="00797449" w:rsidRDefault="00797449" w:rsidP="0079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449">
        <w:rPr>
          <w:rFonts w:ascii="Times New Roman" w:eastAsia="Times New Roman" w:hAnsi="Times New Roman" w:cs="Times New Roman"/>
          <w:sz w:val="28"/>
          <w:szCs w:val="28"/>
        </w:rPr>
        <w:t>б)деятельности по профилактике террористических проявлений, а также по минимизации и (или) ликвидации последствий его проявлений (в первую очередь среди учащихся общеобразовательных организаций и студентов ИндИ (филиал) ФГБОУ высшего образования «Югорский государственный университет»);</w:t>
      </w:r>
    </w:p>
    <w:p w:rsidR="00797449" w:rsidRPr="00797449" w:rsidRDefault="00797449" w:rsidP="0079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449">
        <w:rPr>
          <w:rFonts w:ascii="Times New Roman" w:eastAsia="Times New Roman" w:hAnsi="Times New Roman" w:cs="Times New Roman"/>
          <w:sz w:val="28"/>
          <w:szCs w:val="28"/>
        </w:rPr>
        <w:t>в) интернет-страница АТК города Нефтеюганска.</w:t>
      </w:r>
    </w:p>
    <w:p w:rsidR="00797449" w:rsidRPr="00797449" w:rsidRDefault="00797449" w:rsidP="0079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449">
        <w:rPr>
          <w:rFonts w:ascii="Times New Roman" w:eastAsia="Times New Roman" w:hAnsi="Times New Roman" w:cs="Times New Roman"/>
          <w:sz w:val="28"/>
          <w:szCs w:val="28"/>
        </w:rPr>
        <w:t>21.Оказание методической помощи заинтересованным субъектам профилактики терроризма по вопросам планирования, организации и проведения мероприятий по противодействию терроризму и его идеологии.</w:t>
      </w:r>
    </w:p>
    <w:p w:rsidR="00797449" w:rsidRPr="00797449" w:rsidRDefault="00797449" w:rsidP="0079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449">
        <w:rPr>
          <w:rFonts w:ascii="Times New Roman" w:eastAsia="Times New Roman" w:hAnsi="Times New Roman" w:cs="Times New Roman"/>
          <w:sz w:val="28"/>
          <w:szCs w:val="28"/>
        </w:rPr>
        <w:t xml:space="preserve">22.Усиление контроля за исполнением поручений НАК и указаний его аппарата, полномочного представителя Президента Российской Федерации в Уральском федеральном округе, АТК автономного округа, собственных решений Комиссии посредством принятия мер по повышению персональной </w:t>
      </w:r>
      <w:r w:rsidRPr="00797449">
        <w:rPr>
          <w:rFonts w:ascii="Times New Roman" w:eastAsia="Times New Roman" w:hAnsi="Times New Roman" w:cs="Times New Roman"/>
          <w:sz w:val="28"/>
          <w:szCs w:val="28"/>
        </w:rPr>
        <w:lastRenderedPageBreak/>
        <w:t>ответственности должностных лиц, а также анализ результатов реализации ранее принятых решений АТК города Нефтеюганска.</w:t>
      </w:r>
    </w:p>
    <w:p w:rsidR="00797449" w:rsidRPr="00797449" w:rsidRDefault="00797449" w:rsidP="0079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797449">
        <w:rPr>
          <w:rFonts w:ascii="Times New Roman" w:eastAsia="Times New Roman" w:hAnsi="Times New Roman" w:cs="Times New Roman"/>
          <w:sz w:val="28"/>
          <w:szCs w:val="28"/>
        </w:rPr>
        <w:t>23.Организация всестороннего изучения причин и обстоятельств, способствовавших реализации террористических замыслов</w:t>
      </w:r>
      <w:r w:rsidRPr="001B469C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5"/>
      </w:r>
      <w:r w:rsidRPr="00797449">
        <w:rPr>
          <w:rFonts w:ascii="Times New Roman" w:eastAsia="Times New Roman" w:hAnsi="Times New Roman" w:cs="Times New Roman"/>
          <w:sz w:val="28"/>
          <w:szCs w:val="28"/>
        </w:rPr>
        <w:t>, своевременную выработку мер профилактического реагирования на изменение обстановки по линии противодействия терроризму, а также обеспечение системного индивидуального профилактического воздействия на вышеуказанных лиц</w:t>
      </w:r>
      <w:r w:rsidRPr="001B469C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6"/>
      </w:r>
      <w:r w:rsidRPr="00797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7449" w:rsidRPr="00797449" w:rsidRDefault="00797449" w:rsidP="007974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</w:rPr>
      </w:pPr>
    </w:p>
    <w:p w:rsidR="00797449" w:rsidRPr="00797449" w:rsidRDefault="00797449" w:rsidP="007974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4784F" w:rsidRPr="00B750FA" w:rsidRDefault="00D4784F" w:rsidP="00D47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0FA">
        <w:rPr>
          <w:rFonts w:ascii="Times New Roman" w:hAnsi="Times New Roman" w:cs="Times New Roman"/>
          <w:sz w:val="28"/>
          <w:szCs w:val="28"/>
        </w:rPr>
        <w:t>В отчётном периоде 202</w:t>
      </w:r>
      <w:r w:rsidR="00B750FA" w:rsidRPr="00B750FA">
        <w:rPr>
          <w:rFonts w:ascii="Times New Roman" w:hAnsi="Times New Roman" w:cs="Times New Roman"/>
          <w:sz w:val="28"/>
          <w:szCs w:val="28"/>
        </w:rPr>
        <w:t>5</w:t>
      </w:r>
      <w:r w:rsidRPr="00B750FA">
        <w:rPr>
          <w:rFonts w:ascii="Times New Roman" w:hAnsi="Times New Roman" w:cs="Times New Roman"/>
          <w:sz w:val="28"/>
          <w:szCs w:val="28"/>
        </w:rPr>
        <w:t xml:space="preserve"> года на территории МО г.Нефтеюганска реализовывались:</w:t>
      </w:r>
    </w:p>
    <w:p w:rsidR="005D3248" w:rsidRPr="00B750FA" w:rsidRDefault="005D3248" w:rsidP="005D32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B750FA">
        <w:rPr>
          <w:rFonts w:ascii="Times New Roman" w:eastAsia="Times New Roman" w:hAnsi="Times New Roman" w:cs="Times New Roman"/>
          <w:sz w:val="28"/>
          <w:szCs w:val="16"/>
          <w:lang w:eastAsia="ru-RU"/>
        </w:rPr>
        <w:t>-«Комплексный план противодействия идеологии терроризма в городе Нефтеюганске на 20</w:t>
      </w:r>
      <w:r w:rsidR="00B77ADF" w:rsidRPr="00B750FA">
        <w:rPr>
          <w:rFonts w:ascii="Times New Roman" w:eastAsia="Times New Roman" w:hAnsi="Times New Roman" w:cs="Times New Roman"/>
          <w:sz w:val="28"/>
          <w:szCs w:val="16"/>
          <w:lang w:eastAsia="ru-RU"/>
        </w:rPr>
        <w:t>24</w:t>
      </w:r>
      <w:r w:rsidRPr="00B750FA">
        <w:rPr>
          <w:rFonts w:ascii="Times New Roman" w:eastAsia="Times New Roman" w:hAnsi="Times New Roman" w:cs="Times New Roman"/>
          <w:sz w:val="28"/>
          <w:szCs w:val="16"/>
          <w:lang w:eastAsia="ru-RU"/>
        </w:rPr>
        <w:t>-202</w:t>
      </w:r>
      <w:r w:rsidR="00B77ADF" w:rsidRPr="00B750FA">
        <w:rPr>
          <w:rFonts w:ascii="Times New Roman" w:eastAsia="Times New Roman" w:hAnsi="Times New Roman" w:cs="Times New Roman"/>
          <w:sz w:val="28"/>
          <w:szCs w:val="16"/>
          <w:lang w:eastAsia="ru-RU"/>
        </w:rPr>
        <w:t>8</w:t>
      </w:r>
      <w:r w:rsidRPr="00B750FA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годы», утвержденный постановлением админи</w:t>
      </w:r>
      <w:r w:rsidR="00D526E0" w:rsidRPr="00B750FA">
        <w:rPr>
          <w:rFonts w:ascii="Times New Roman" w:eastAsia="Times New Roman" w:hAnsi="Times New Roman" w:cs="Times New Roman"/>
          <w:sz w:val="28"/>
          <w:szCs w:val="16"/>
          <w:lang w:eastAsia="ru-RU"/>
        </w:rPr>
        <w:t>страции города Нефтеюганска от 28.03.2024 № 580</w:t>
      </w:r>
      <w:r w:rsidRPr="00B750FA">
        <w:rPr>
          <w:rFonts w:ascii="Times New Roman" w:eastAsia="Times New Roman" w:hAnsi="Times New Roman" w:cs="Times New Roman"/>
          <w:sz w:val="28"/>
          <w:szCs w:val="16"/>
          <w:lang w:eastAsia="ru-RU"/>
        </w:rPr>
        <w:t>-п</w:t>
      </w:r>
    </w:p>
    <w:p w:rsidR="005D3248" w:rsidRPr="00B750FA" w:rsidRDefault="005D3248" w:rsidP="005D3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50F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750F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комплексных мероприятий по профилактике терроризма и реализации на территории муниципального образования город Нефтеюганск Концепции противодействия терроризму в Российской Федерации на 202</w:t>
      </w:r>
      <w:r w:rsidR="00B750FA" w:rsidRPr="00B750F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750FA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A12203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bookmarkStart w:id="0" w:name="_GoBack"/>
      <w:bookmarkEnd w:id="0"/>
      <w:r w:rsidRPr="00B75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годы»,</w:t>
      </w:r>
      <w:r w:rsidRPr="00B75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5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постановлением администрации города от </w:t>
      </w:r>
      <w:r w:rsidR="00B750FA" w:rsidRPr="00B750FA">
        <w:rPr>
          <w:rFonts w:ascii="Times New Roman" w:eastAsia="Times New Roman" w:hAnsi="Times New Roman" w:cs="Times New Roman"/>
          <w:sz w:val="28"/>
          <w:szCs w:val="28"/>
          <w:lang w:eastAsia="ru-RU"/>
        </w:rPr>
        <w:t>22.01.2026</w:t>
      </w:r>
      <w:r w:rsidRPr="00B75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750FA" w:rsidRPr="00B750F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750FA">
        <w:rPr>
          <w:rFonts w:ascii="Times New Roman" w:eastAsia="Times New Roman" w:hAnsi="Times New Roman" w:cs="Times New Roman"/>
          <w:sz w:val="28"/>
          <w:szCs w:val="28"/>
          <w:lang w:eastAsia="ru-RU"/>
        </w:rPr>
        <w:t>1-п.</w:t>
      </w:r>
    </w:p>
    <w:p w:rsidR="005D3248" w:rsidRPr="00B750FA" w:rsidRDefault="005D3248" w:rsidP="005D3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A">
        <w:rPr>
          <w:rFonts w:ascii="Times New Roman" w:eastAsia="Times New Roman" w:hAnsi="Times New Roman" w:cs="Times New Roman"/>
          <w:sz w:val="28"/>
          <w:szCs w:val="28"/>
          <w:lang w:eastAsia="ru-RU"/>
        </w:rPr>
        <w:t>-«Профилактика терроризма в городе Нефтеюганске», утвержденная постановлением администрации города от 01.10.2019 № 1039-п</w:t>
      </w:r>
      <w:r w:rsidR="00D526E0" w:rsidRPr="00B750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75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3248" w:rsidRPr="00B750FA" w:rsidRDefault="005D3248" w:rsidP="005D3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-«Профилактика правонарушений в сфере общественного порядка, пропаганда здорового образа жизни </w:t>
      </w:r>
      <w:r w:rsidRPr="00B750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(профилактика наркомании, токсикомании и алкоголизма)</w:t>
      </w:r>
      <w:r w:rsidRPr="00B75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Нефтеюганске», утвержденная постановлением администрации города от 15.11.2018 № 596-п</w:t>
      </w:r>
      <w:r w:rsidR="00D526E0" w:rsidRPr="00B750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75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3248" w:rsidRPr="00B750FA" w:rsidRDefault="005D3248" w:rsidP="005D3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50FA">
        <w:rPr>
          <w:rFonts w:ascii="Times New Roman" w:eastAsia="Times New Roman" w:hAnsi="Times New Roman" w:cs="Times New Roman"/>
          <w:sz w:val="28"/>
          <w:szCs w:val="28"/>
          <w:lang w:eastAsia="ru-RU"/>
        </w:rPr>
        <w:t>-«Развитие образования и молодёжной политики в городе Нефтеюганске», утвержденная постановлением администрации города от 15.11.2018 № 598-п</w:t>
      </w:r>
      <w:r w:rsidR="00D526E0" w:rsidRPr="00B750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75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3248" w:rsidRPr="00B750FA" w:rsidRDefault="005D3248" w:rsidP="005D3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A">
        <w:rPr>
          <w:rFonts w:ascii="Times New Roman" w:eastAsia="Times New Roman" w:hAnsi="Times New Roman" w:cs="Times New Roman"/>
          <w:sz w:val="28"/>
          <w:szCs w:val="28"/>
          <w:lang w:eastAsia="ru-RU"/>
        </w:rPr>
        <w:t>-«Развитие физической культуры и спорта в городе Нефтеюганске», утвержденная постановлением администрации города от 15.11.2018 № 600-п</w:t>
      </w:r>
      <w:r w:rsidR="00D526E0" w:rsidRPr="00B750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3248" w:rsidRPr="005D3248" w:rsidRDefault="005D3248" w:rsidP="005D32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50FA">
        <w:rPr>
          <w:rFonts w:ascii="Times New Roman" w:eastAsia="Times New Roman" w:hAnsi="Times New Roman" w:cs="Times New Roman"/>
          <w:sz w:val="28"/>
          <w:szCs w:val="28"/>
          <w:lang w:eastAsia="ru-RU"/>
        </w:rPr>
        <w:t>-«Развитие культуры и туризма в городе Нефтеюганске», утвержденная постановлением администрац</w:t>
      </w:r>
      <w:r w:rsidR="00D526E0" w:rsidRPr="00B750FA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города от 15.11.2018 № 599-п.</w:t>
      </w:r>
    </w:p>
    <w:p w:rsidR="00C95766" w:rsidRDefault="00C95766" w:rsidP="00C95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95766" w:rsidSect="00D4784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BB0" w:rsidRDefault="00217BB0" w:rsidP="00C95766">
      <w:pPr>
        <w:spacing w:after="0" w:line="240" w:lineRule="auto"/>
      </w:pPr>
      <w:r>
        <w:separator/>
      </w:r>
    </w:p>
  </w:endnote>
  <w:endnote w:type="continuationSeparator" w:id="0">
    <w:p w:rsidR="00217BB0" w:rsidRDefault="00217BB0" w:rsidP="00C95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BB0" w:rsidRDefault="00217BB0" w:rsidP="00C95766">
      <w:pPr>
        <w:spacing w:after="0" w:line="240" w:lineRule="auto"/>
      </w:pPr>
      <w:r>
        <w:separator/>
      </w:r>
    </w:p>
  </w:footnote>
  <w:footnote w:type="continuationSeparator" w:id="0">
    <w:p w:rsidR="00217BB0" w:rsidRDefault="00217BB0" w:rsidP="00C95766">
      <w:pPr>
        <w:spacing w:after="0" w:line="240" w:lineRule="auto"/>
      </w:pPr>
      <w:r>
        <w:continuationSeparator/>
      </w:r>
    </w:p>
  </w:footnote>
  <w:footnote w:id="1">
    <w:p w:rsidR="00797449" w:rsidRPr="00C05900" w:rsidRDefault="00797449" w:rsidP="00797449">
      <w:pPr>
        <w:pStyle w:val="4441nienieTableFootnotelast1TableFootnotelastTableFootnotelast311"/>
        <w:tabs>
          <w:tab w:val="left" w:pos="142"/>
          <w:tab w:val="left" w:pos="426"/>
        </w:tabs>
        <w:spacing w:line="240" w:lineRule="auto"/>
        <w:ind w:firstLine="425"/>
        <w:rPr>
          <w:b w:val="0"/>
          <w:bCs w:val="0"/>
          <w:sz w:val="20"/>
          <w:szCs w:val="20"/>
        </w:rPr>
      </w:pPr>
      <w:r>
        <w:rPr>
          <w:rStyle w:val="frCiaeniineeIFootnotesrefss1-FNCiaeniinee-FNAppelnotedebasdepageReferencianotaalpieFootnoteReferenceSuperscriptFootnoteReferenceArialBVIfnrSUPERSFootnotesymbolFZ"/>
          <w:b w:val="0"/>
          <w:bCs w:val="0"/>
          <w:sz w:val="20"/>
          <w:szCs w:val="20"/>
        </w:rPr>
        <w:footnoteRef/>
      </w:r>
      <w:r>
        <w:rPr>
          <w:b w:val="0"/>
          <w:bCs w:val="0"/>
          <w:sz w:val="20"/>
          <w:szCs w:val="20"/>
        </w:rPr>
        <w:t xml:space="preserve"> </w:t>
      </w:r>
      <w:r w:rsidRPr="00C05900">
        <w:rPr>
          <w:b w:val="0"/>
          <w:bCs w:val="0"/>
          <w:sz w:val="20"/>
          <w:szCs w:val="20"/>
        </w:rPr>
        <w:t xml:space="preserve">С учетом Регламента осуществления мониторинга общественно-политических, социально-экономических и иных процессов, оказывающих влияние на ситуацию в сфере противодействия терроризму в автономном округе, утвержденного решением АТК ХМАО – Югры </w:t>
      </w:r>
      <w:r w:rsidRPr="00C05900">
        <w:rPr>
          <w:b w:val="0"/>
          <w:bCs w:val="0"/>
          <w:i/>
          <w:sz w:val="20"/>
          <w:szCs w:val="20"/>
        </w:rPr>
        <w:t>(протокол от 26.11.2019 № 98/81) (далее - Мониторинг).</w:t>
      </w:r>
    </w:p>
  </w:footnote>
  <w:footnote w:id="2">
    <w:p w:rsidR="00797449" w:rsidRPr="001B469C" w:rsidRDefault="00797449" w:rsidP="00797449">
      <w:pPr>
        <w:pStyle w:val="11"/>
        <w:tabs>
          <w:tab w:val="left" w:pos="142"/>
          <w:tab w:val="left" w:pos="426"/>
        </w:tabs>
        <w:ind w:firstLine="425"/>
      </w:pPr>
      <w:r w:rsidRPr="00C05900">
        <w:rPr>
          <w:rStyle w:val="frCiaeniineeIFootnotesrefss1-FNCiaeniinee-FNAppelnotedebasdepageReferencianotaalpieFootnoteReferenceSuperscriptFootnoteReferenceArialBVIfnrSUPERSFootnotesymbolFZ"/>
        </w:rPr>
        <w:footnoteRef/>
      </w:r>
      <w:r w:rsidRPr="00C05900">
        <w:t xml:space="preserve"> Федеральный закон от 9 февраля 2007 года </w:t>
      </w:r>
      <w:r w:rsidRPr="001B469C">
        <w:t>№ 16-ФЗ «О транспортной безопасности».</w:t>
      </w:r>
    </w:p>
  </w:footnote>
  <w:footnote w:id="3">
    <w:p w:rsidR="00797449" w:rsidRPr="001B469C" w:rsidRDefault="00797449" w:rsidP="00797449">
      <w:pPr>
        <w:pStyle w:val="11"/>
        <w:tabs>
          <w:tab w:val="left" w:pos="142"/>
          <w:tab w:val="left" w:pos="426"/>
        </w:tabs>
        <w:ind w:firstLine="425"/>
      </w:pPr>
      <w:r w:rsidRPr="001B469C">
        <w:rPr>
          <w:rStyle w:val="frCiaeniineeIFootnotesrefss1-FNCiaeniinee-FNAppelnotedebasdepageReferencianotaalpieFootnoteReferenceSuperscriptFootnoteReferenceArialBVIfnrSUPERSFootnotesymbolFZ"/>
        </w:rPr>
        <w:footnoteRef/>
      </w:r>
      <w:r w:rsidRPr="001B469C">
        <w:t xml:space="preserve"> Федеральный закон от 21 июля 2011 года № 256-ФЗ «О безопасности объектов топливно-энергетического комплекса».</w:t>
      </w:r>
    </w:p>
  </w:footnote>
  <w:footnote w:id="4">
    <w:p w:rsidR="00797449" w:rsidRPr="001B469C" w:rsidRDefault="00797449" w:rsidP="00797449">
      <w:pPr>
        <w:pStyle w:val="a3"/>
        <w:ind w:firstLine="425"/>
        <w:jc w:val="both"/>
        <w:rPr>
          <w:rFonts w:ascii="Times New Roman" w:hAnsi="Times New Roman"/>
        </w:rPr>
      </w:pPr>
      <w:r w:rsidRPr="001B469C">
        <w:rPr>
          <w:rStyle w:val="a5"/>
          <w:rFonts w:ascii="Times New Roman" w:hAnsi="Times New Roman"/>
        </w:rPr>
        <w:footnoteRef/>
      </w:r>
      <w:r w:rsidRPr="001B469C">
        <w:rPr>
          <w:rFonts w:ascii="Times New Roman" w:hAnsi="Times New Roman"/>
        </w:rPr>
        <w:t xml:space="preserve"> Постановление Правительства РФ от 3 августа 2024 года № 1046 «Об утверждении требований обеспечения безопасности и антитеррористической защищенности объектов топливно-энергетического комплекса».</w:t>
      </w:r>
    </w:p>
  </w:footnote>
  <w:footnote w:id="5">
    <w:p w:rsidR="00797449" w:rsidRPr="001B469C" w:rsidRDefault="00797449" w:rsidP="00797449">
      <w:pPr>
        <w:pStyle w:val="1"/>
        <w:tabs>
          <w:tab w:val="left" w:pos="142"/>
          <w:tab w:val="left" w:pos="426"/>
        </w:tabs>
        <w:spacing w:before="0"/>
        <w:ind w:firstLine="425"/>
        <w:jc w:val="both"/>
        <w:rPr>
          <w:rFonts w:ascii="Times New Roman" w:hAnsi="Times New Roman"/>
          <w:bCs/>
          <w:color w:val="auto"/>
          <w:sz w:val="20"/>
          <w:szCs w:val="20"/>
        </w:rPr>
      </w:pPr>
      <w:r w:rsidRPr="001B469C">
        <w:rPr>
          <w:rStyle w:val="frCiaeniineeIFootnotesrefss1-FNCiaeniinee-FNAppelnotedebasdepageReferencianotaalpieFootnoteReferenceSuperscriptFootnoteReferenceArialBVIfnrSUPERSFootnotesymbolFZ"/>
          <w:rFonts w:ascii="Times New Roman" w:hAnsi="Times New Roman"/>
          <w:bCs/>
          <w:color w:val="auto"/>
          <w:sz w:val="20"/>
          <w:szCs w:val="20"/>
        </w:rPr>
        <w:footnoteRef/>
      </w:r>
      <w:r w:rsidRPr="001B469C">
        <w:rPr>
          <w:rFonts w:ascii="Times New Roman" w:hAnsi="Times New Roman"/>
          <w:bCs/>
          <w:color w:val="auto"/>
          <w:sz w:val="20"/>
          <w:szCs w:val="20"/>
        </w:rPr>
        <w:t> Правовые акты Правительства РФ, изданные в целях реализации постановления Правительства РФ от 25 декабря 2013 года № 1244 «Об антитеррористической защищенности объектов (территорий)».</w:t>
      </w:r>
    </w:p>
  </w:footnote>
  <w:footnote w:id="6">
    <w:p w:rsidR="00797449" w:rsidRPr="00C05900" w:rsidRDefault="00797449" w:rsidP="00797449">
      <w:pPr>
        <w:pStyle w:val="4441nienieTableFootnotelast1TableFootnotelastTableFootnotelast311"/>
        <w:spacing w:line="240" w:lineRule="auto"/>
        <w:ind w:firstLine="425"/>
        <w:rPr>
          <w:b w:val="0"/>
          <w:bCs w:val="0"/>
          <w:sz w:val="20"/>
          <w:szCs w:val="20"/>
        </w:rPr>
      </w:pPr>
      <w:r w:rsidRPr="001B469C">
        <w:rPr>
          <w:rStyle w:val="frCiaeniineeIFootnotesrefss1-FNCiaeniinee-FNAppelnotedebasdepageReferencianotaalpieFootnoteReferenceSuperscriptFootnoteReferenceArialBVIfnrSUPERSFootnotesymbolFZ"/>
          <w:b w:val="0"/>
          <w:bCs w:val="0"/>
          <w:sz w:val="20"/>
          <w:szCs w:val="20"/>
        </w:rPr>
        <w:footnoteRef/>
      </w:r>
      <w:r w:rsidRPr="001B469C">
        <w:rPr>
          <w:b w:val="0"/>
          <w:bCs w:val="0"/>
          <w:sz w:val="20"/>
          <w:szCs w:val="20"/>
        </w:rPr>
        <w:t> Указ Президента РФ от 14 июня 2012 года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</w:r>
    </w:p>
  </w:footnote>
  <w:footnote w:id="7">
    <w:p w:rsidR="00797449" w:rsidRPr="00C05900" w:rsidRDefault="00797449" w:rsidP="00797449">
      <w:pPr>
        <w:pStyle w:val="4441nienieTableFootnotelast1TableFootnotelastTableFootnotelast311"/>
        <w:spacing w:line="240" w:lineRule="auto"/>
        <w:ind w:firstLine="425"/>
        <w:rPr>
          <w:b w:val="0"/>
          <w:bCs w:val="0"/>
          <w:sz w:val="20"/>
          <w:szCs w:val="20"/>
        </w:rPr>
      </w:pPr>
      <w:r w:rsidRPr="00C05900">
        <w:rPr>
          <w:rStyle w:val="frCiaeniineeIFootnotesrefss1-FNCiaeniinee-FNAppelnotedebasdepageReferencianotaalpieFootnoteReferenceSuperscriptFootnoteReferenceArialBVIfnrSUPERSFootnotesymbolFZ"/>
          <w:b w:val="0"/>
          <w:bCs w:val="0"/>
          <w:sz w:val="20"/>
          <w:szCs w:val="20"/>
        </w:rPr>
        <w:footnoteRef/>
      </w:r>
      <w:r w:rsidRPr="00C05900">
        <w:rPr>
          <w:b w:val="0"/>
          <w:bCs w:val="0"/>
          <w:sz w:val="20"/>
          <w:szCs w:val="20"/>
        </w:rPr>
        <w:t xml:space="preserve"> Указ Президента РФ о «О мерах, осуществляемых в субъектах Российской Федерации в связи с Указом Президента Российской Федерации от 19 октября 2022 года № 756».</w:t>
      </w:r>
    </w:p>
  </w:footnote>
  <w:footnote w:id="8">
    <w:p w:rsidR="00797449" w:rsidRPr="00C05900" w:rsidRDefault="00797449" w:rsidP="00797449">
      <w:pPr>
        <w:pStyle w:val="a3"/>
        <w:ind w:firstLine="425"/>
        <w:jc w:val="both"/>
        <w:rPr>
          <w:rFonts w:ascii="Times New Roman" w:hAnsi="Times New Roman"/>
        </w:rPr>
      </w:pPr>
      <w:r w:rsidRPr="00C05900">
        <w:rPr>
          <w:rStyle w:val="a5"/>
          <w:rFonts w:ascii="Times New Roman" w:hAnsi="Times New Roman"/>
        </w:rPr>
        <w:footnoteRef/>
      </w:r>
      <w:r w:rsidRPr="00C05900">
        <w:rPr>
          <w:rFonts w:ascii="Times New Roman" w:hAnsi="Times New Roman"/>
        </w:rPr>
        <w:t xml:space="preserve"> Представители молодежи, прежде всего разделяющие идеи террористических, экстремистских, националистических и неонацистских организаций, различных деструктивных движений (субкультур), а также состоящие на различных формах учета в органах и учреждениях системы профилактики в связи со склонностью к суицидальному поведению, совершению насильственных действий; население новых субъектов Российской Федерации, прежде всего лица, проживающие ранее на подконтрольных киевскому режиму территориях; мигранты, прибывшие в Российскую Федерацию для осуществления трудовой деятельности или обучения, члены их семей; лица, отбывающие или отбывшие наказание в учреждениях уголовно-исправительной системы, за осуществление террористической деятельности; члены семей лиц, причастных к террористической деятельности (действующих, осужденных, нейтрализованных); несовершеннолетние, возвращенные (прибывшие) из зон вооруженных конфликтов.</w:t>
      </w:r>
    </w:p>
  </w:footnote>
  <w:footnote w:id="9">
    <w:p w:rsidR="00797449" w:rsidRPr="00680313" w:rsidRDefault="00797449" w:rsidP="00797449">
      <w:pPr>
        <w:pStyle w:val="4441nienieTableFootnotelast1TableFootnotelastTableFootnotelast311"/>
        <w:tabs>
          <w:tab w:val="left" w:pos="142"/>
          <w:tab w:val="left" w:pos="426"/>
        </w:tabs>
        <w:spacing w:line="240" w:lineRule="auto"/>
        <w:ind w:firstLine="425"/>
        <w:rPr>
          <w:b w:val="0"/>
          <w:bCs w:val="0"/>
          <w:sz w:val="20"/>
          <w:szCs w:val="20"/>
        </w:rPr>
      </w:pPr>
      <w:r w:rsidRPr="00680313">
        <w:rPr>
          <w:rStyle w:val="frCiaeniineeIFootnotesrefss1-FNCiaeniinee-FNAppelnotedebasdepageReferencianotaalpieFootnoteReferenceSuperscriptFootnoteReferenceArialBVIfnrSUPERSFootnotesymbolFZ"/>
          <w:b w:val="0"/>
          <w:bCs w:val="0"/>
          <w:sz w:val="20"/>
          <w:szCs w:val="20"/>
        </w:rPr>
        <w:footnoteRef/>
      </w:r>
      <w:r w:rsidRPr="00680313">
        <w:rPr>
          <w:b w:val="0"/>
          <w:bCs w:val="0"/>
          <w:sz w:val="20"/>
          <w:szCs w:val="20"/>
        </w:rPr>
        <w:t xml:space="preserve"> В том числе с учетом учебно-методических центров дополнительного профессионального образования, созданных при филиалах РАНХиГС, федеральных университетах, а также НЦПТИ.</w:t>
      </w:r>
    </w:p>
  </w:footnote>
  <w:footnote w:id="10">
    <w:p w:rsidR="00797449" w:rsidRPr="00680313" w:rsidRDefault="00797449" w:rsidP="00797449">
      <w:pPr>
        <w:pStyle w:val="a3"/>
        <w:ind w:firstLine="425"/>
        <w:jc w:val="both"/>
        <w:rPr>
          <w:rFonts w:ascii="Times New Roman" w:hAnsi="Times New Roman"/>
        </w:rPr>
      </w:pPr>
      <w:r w:rsidRPr="00680313">
        <w:rPr>
          <w:rStyle w:val="a5"/>
          <w:rFonts w:ascii="Times New Roman" w:hAnsi="Times New Roman"/>
        </w:rPr>
        <w:footnoteRef/>
      </w:r>
      <w:r w:rsidRPr="00680313">
        <w:rPr>
          <w:rFonts w:ascii="Times New Roman" w:hAnsi="Times New Roman"/>
        </w:rPr>
        <w:t xml:space="preserve"> Утвержден распоряжением Губернатора ХМАО – Югры от 17 августа 2020 года № 201-рг.</w:t>
      </w:r>
    </w:p>
  </w:footnote>
  <w:footnote w:id="11">
    <w:p w:rsidR="00797449" w:rsidRPr="00680313" w:rsidRDefault="00797449" w:rsidP="00797449">
      <w:pPr>
        <w:pStyle w:val="a3"/>
        <w:ind w:firstLine="425"/>
        <w:jc w:val="both"/>
        <w:rPr>
          <w:rFonts w:ascii="Times New Roman" w:hAnsi="Times New Roman"/>
        </w:rPr>
      </w:pPr>
      <w:r w:rsidRPr="00680313">
        <w:rPr>
          <w:rStyle w:val="a5"/>
          <w:rFonts w:ascii="Times New Roman" w:hAnsi="Times New Roman"/>
        </w:rPr>
        <w:footnoteRef/>
      </w:r>
      <w:r w:rsidRPr="00680313">
        <w:rPr>
          <w:rFonts w:ascii="Times New Roman" w:hAnsi="Times New Roman"/>
        </w:rPr>
        <w:t xml:space="preserve"> Утвержден постановлением администрации города Нефтеюганска от 07.09.2020 № 1455-п (с изм. от 23.01.2023 № 37-п</w:t>
      </w:r>
      <w:r>
        <w:rPr>
          <w:rFonts w:ascii="Times New Roman" w:hAnsi="Times New Roman"/>
        </w:rPr>
        <w:t>)</w:t>
      </w:r>
      <w:r w:rsidRPr="00680313">
        <w:rPr>
          <w:rFonts w:ascii="Times New Roman" w:hAnsi="Times New Roman"/>
        </w:rPr>
        <w:t xml:space="preserve"> </w:t>
      </w:r>
    </w:p>
  </w:footnote>
  <w:footnote w:id="12">
    <w:p w:rsidR="00797449" w:rsidRPr="00680313" w:rsidRDefault="00797449" w:rsidP="00797449">
      <w:pPr>
        <w:pStyle w:val="a3"/>
        <w:ind w:firstLine="425"/>
        <w:jc w:val="both"/>
        <w:rPr>
          <w:rFonts w:ascii="Times New Roman" w:hAnsi="Times New Roman"/>
        </w:rPr>
      </w:pPr>
      <w:r w:rsidRPr="00680313">
        <w:rPr>
          <w:rStyle w:val="a5"/>
          <w:rFonts w:ascii="Times New Roman" w:hAnsi="Times New Roman"/>
        </w:rPr>
        <w:footnoteRef/>
      </w:r>
      <w:r w:rsidRPr="00680313">
        <w:rPr>
          <w:rFonts w:ascii="Times New Roman" w:hAnsi="Times New Roman"/>
        </w:rPr>
        <w:t xml:space="preserve"> Утвержден распоряжением Губернатора ХМАО – Югры от 1 марта 2024 № 48-рг.</w:t>
      </w:r>
    </w:p>
  </w:footnote>
  <w:footnote w:id="13">
    <w:p w:rsidR="00797449" w:rsidRPr="00680313" w:rsidRDefault="00797449" w:rsidP="00797449">
      <w:pPr>
        <w:pStyle w:val="a3"/>
        <w:ind w:firstLine="425"/>
        <w:jc w:val="both"/>
        <w:rPr>
          <w:rFonts w:ascii="Times New Roman" w:hAnsi="Times New Roman"/>
        </w:rPr>
      </w:pPr>
      <w:r w:rsidRPr="00680313">
        <w:rPr>
          <w:rStyle w:val="a5"/>
          <w:rFonts w:ascii="Times New Roman" w:hAnsi="Times New Roman"/>
        </w:rPr>
        <w:footnoteRef/>
      </w:r>
      <w:r w:rsidRPr="00680313">
        <w:rPr>
          <w:rFonts w:ascii="Times New Roman" w:hAnsi="Times New Roman"/>
        </w:rPr>
        <w:t xml:space="preserve"> Утвержден постановлением администрации города Нефтеюганска от </w:t>
      </w:r>
      <w:r>
        <w:rPr>
          <w:rFonts w:ascii="Times New Roman" w:hAnsi="Times New Roman"/>
        </w:rPr>
        <w:t>28.03.2024</w:t>
      </w:r>
      <w:r w:rsidRPr="00680313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580</w:t>
      </w:r>
      <w:r w:rsidRPr="00680313">
        <w:rPr>
          <w:rFonts w:ascii="Times New Roman" w:hAnsi="Times New Roman"/>
        </w:rPr>
        <w:t xml:space="preserve">-п </w:t>
      </w:r>
    </w:p>
  </w:footnote>
  <w:footnote w:id="14">
    <w:p w:rsidR="00797449" w:rsidRPr="00680313" w:rsidRDefault="00797449" w:rsidP="00797449">
      <w:pPr>
        <w:pStyle w:val="a3"/>
        <w:ind w:firstLine="425"/>
        <w:jc w:val="both"/>
        <w:rPr>
          <w:rFonts w:ascii="Times New Roman" w:hAnsi="Times New Roman"/>
        </w:rPr>
      </w:pPr>
      <w:r w:rsidRPr="00680313">
        <w:rPr>
          <w:rStyle w:val="a5"/>
          <w:rFonts w:ascii="Times New Roman" w:hAnsi="Times New Roman"/>
        </w:rPr>
        <w:footnoteRef/>
      </w:r>
      <w:r w:rsidRPr="00680313">
        <w:rPr>
          <w:rFonts w:ascii="Times New Roman" w:hAnsi="Times New Roman"/>
        </w:rPr>
        <w:t xml:space="preserve"> Утвержден постановлением администрации города Нефтеюганска от </w:t>
      </w:r>
      <w:r>
        <w:rPr>
          <w:rFonts w:ascii="Times New Roman" w:hAnsi="Times New Roman"/>
        </w:rPr>
        <w:t>01.10.2019 № 1039</w:t>
      </w:r>
      <w:r w:rsidRPr="00680313">
        <w:rPr>
          <w:rFonts w:ascii="Times New Roman" w:hAnsi="Times New Roman"/>
        </w:rPr>
        <w:t>-п</w:t>
      </w:r>
    </w:p>
  </w:footnote>
  <w:footnote w:id="15">
    <w:p w:rsidR="00797449" w:rsidRPr="00AE7F3F" w:rsidRDefault="00797449" w:rsidP="00797449">
      <w:pPr>
        <w:pStyle w:val="a3"/>
        <w:ind w:firstLine="709"/>
        <w:jc w:val="both"/>
        <w:rPr>
          <w:rFonts w:ascii="Times New Roman" w:hAnsi="Times New Roman"/>
        </w:rPr>
      </w:pPr>
      <w:r w:rsidRPr="00AE7F3F">
        <w:rPr>
          <w:rStyle w:val="a5"/>
          <w:rFonts w:ascii="Times New Roman" w:hAnsi="Times New Roman"/>
        </w:rPr>
        <w:footnoteRef/>
      </w:r>
      <w:r w:rsidRPr="00AE7F3F">
        <w:rPr>
          <w:rFonts w:ascii="Times New Roman" w:hAnsi="Times New Roman"/>
        </w:rPr>
        <w:t xml:space="preserve"> По фактам, выявленным и предоставленным ОМВД России по городу Нефтеюганску</w:t>
      </w:r>
    </w:p>
  </w:footnote>
  <w:footnote w:id="16">
    <w:p w:rsidR="00797449" w:rsidRDefault="00797449" w:rsidP="00797449">
      <w:pPr>
        <w:pStyle w:val="a3"/>
        <w:ind w:firstLine="709"/>
        <w:jc w:val="both"/>
      </w:pPr>
      <w:r w:rsidRPr="00AE7F3F">
        <w:rPr>
          <w:rStyle w:val="a5"/>
          <w:rFonts w:ascii="Times New Roman" w:hAnsi="Times New Roman"/>
        </w:rPr>
        <w:footnoteRef/>
      </w:r>
      <w:r w:rsidRPr="00AE7F3F">
        <w:rPr>
          <w:rFonts w:ascii="Times New Roman" w:hAnsi="Times New Roman"/>
        </w:rPr>
        <w:t xml:space="preserve"> В целях реализации п.3.1.3.1 </w:t>
      </w:r>
      <w:r>
        <w:rPr>
          <w:rFonts w:ascii="Times New Roman" w:hAnsi="Times New Roman"/>
        </w:rPr>
        <w:t>протоко</w:t>
      </w:r>
      <w:r w:rsidRPr="00AE7F3F">
        <w:rPr>
          <w:rFonts w:ascii="Times New Roman" w:hAnsi="Times New Roman"/>
        </w:rPr>
        <w:t>ла совместного заседания АТК ХМАО - Югры и ОШ в ХМАО - Югре от 28.10.2024 № 128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83"/>
    <w:rsid w:val="000F0920"/>
    <w:rsid w:val="001348E8"/>
    <w:rsid w:val="00140E24"/>
    <w:rsid w:val="001A3CE1"/>
    <w:rsid w:val="001B469C"/>
    <w:rsid w:val="001D35D3"/>
    <w:rsid w:val="00217BB0"/>
    <w:rsid w:val="002A71DD"/>
    <w:rsid w:val="002B69BA"/>
    <w:rsid w:val="0037321C"/>
    <w:rsid w:val="003C698F"/>
    <w:rsid w:val="003F04E9"/>
    <w:rsid w:val="004C2B3C"/>
    <w:rsid w:val="00521F9C"/>
    <w:rsid w:val="005D3248"/>
    <w:rsid w:val="005F0BC2"/>
    <w:rsid w:val="00604ED6"/>
    <w:rsid w:val="00683C3D"/>
    <w:rsid w:val="006E362A"/>
    <w:rsid w:val="00741209"/>
    <w:rsid w:val="00797449"/>
    <w:rsid w:val="008A6228"/>
    <w:rsid w:val="00922B8F"/>
    <w:rsid w:val="00A12203"/>
    <w:rsid w:val="00A65E24"/>
    <w:rsid w:val="00B750FA"/>
    <w:rsid w:val="00B77ADF"/>
    <w:rsid w:val="00B83EB1"/>
    <w:rsid w:val="00BC71EC"/>
    <w:rsid w:val="00C02BD3"/>
    <w:rsid w:val="00C95766"/>
    <w:rsid w:val="00CA5EC6"/>
    <w:rsid w:val="00D03193"/>
    <w:rsid w:val="00D4784F"/>
    <w:rsid w:val="00D526E0"/>
    <w:rsid w:val="00DE1D49"/>
    <w:rsid w:val="00E02638"/>
    <w:rsid w:val="00E276AE"/>
    <w:rsid w:val="00E96711"/>
    <w:rsid w:val="00EE0B83"/>
    <w:rsid w:val="00F625B2"/>
    <w:rsid w:val="00F67F85"/>
    <w:rsid w:val="00F76571"/>
    <w:rsid w:val="00F8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3EE1"/>
  <w15:chartTrackingRefBased/>
  <w15:docId w15:val="{D6D850E9-CFD4-45E7-8284-E90D7D85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84F"/>
  </w:style>
  <w:style w:type="paragraph" w:styleId="1">
    <w:name w:val="heading 1"/>
    <w:basedOn w:val="a"/>
    <w:next w:val="a"/>
    <w:link w:val="10"/>
    <w:uiPriority w:val="9"/>
    <w:qFormat/>
    <w:rsid w:val="007974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957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95766"/>
    <w:rPr>
      <w:sz w:val="20"/>
      <w:szCs w:val="20"/>
    </w:rPr>
  </w:style>
  <w:style w:type="character" w:styleId="a5">
    <w:name w:val="footnote reference"/>
    <w:aliases w:val="Знак сноски 1,Знак сноски-FN,Ciae niinee-FN,Текст сновски,fr,Ciae niinee I,Footnotes refss,Appel note de bas de page,Referencia nota al pie,Footnote Reference Superscript,Footnote Reference Arial,BVI fnr,SUPERS,Footnote symbol,FZ"/>
    <w:link w:val="CiaeniineeI"/>
    <w:uiPriority w:val="99"/>
    <w:unhideWhenUsed/>
    <w:qFormat/>
    <w:rsid w:val="00C95766"/>
    <w:rPr>
      <w:vertAlign w:val="superscript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a"/>
    <w:link w:val="a5"/>
    <w:uiPriority w:val="99"/>
    <w:rsid w:val="00C95766"/>
    <w:pPr>
      <w:spacing w:before="120" w:line="240" w:lineRule="exact"/>
    </w:pPr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974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rCiaeniineeIFootnotesrefss1-FNCiaeniinee-FNAppelnotedebasdepageReferencianotaalpieFootnoteReferenceSuperscriptFootnoteReferenceArialBVIfnrSUPERSFootnotesymbolFZ">
    <w:name w:val="Знак сноски;Текст сновски;fr;Ciae niinee I;Footnotes refss;Знак сноски 1;Знак сноски-FN;Ciae niinee-FN;Appel note de bas de page;Referencia nota al pie;Footnote Reference Superscript;Footnote Reference Arial;BVI fnr;SUPERS;Footnote symbol;FZ"/>
    <w:link w:val="CiaeniineeIFootnotesrefssFootnoteReferenceSuperscriptFootnoteReferenceArialBVIfnrSUPERSFootnotesymbolFootnoteReferenceArial1FootnoteReferenceArial21"/>
    <w:qFormat/>
    <w:rsid w:val="00797449"/>
    <w:rPr>
      <w:vertAlign w:val="superscript"/>
    </w:rPr>
  </w:style>
  <w:style w:type="paragraph" w:customStyle="1" w:styleId="11">
    <w:name w:val="Текст сноски1"/>
    <w:basedOn w:val="a"/>
    <w:rsid w:val="0079744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iaeniineeIFootnotesrefssFootnoteReferenceSuperscriptFootnoteReferenceArialBVIfnrSUPERSFootnotesymbolFootnoteReferenceArial1FootnoteReferenceArial21">
    <w:name w:val="Ciae niinee I Знак;Footnotes refss Знак;текст сноски Знак;Footnote Reference Superscript Знак;Footnote Reference Arial Знак;BVI fnr Знак;SUPERS Знак;Footnote symbol Знак;Footnote Reference Arial1 Знак;Footnote Reference Arial2 Знак;Знак сноски 1 Знак"/>
    <w:basedOn w:val="a"/>
    <w:link w:val="frCiaeniineeIFootnotesrefss1-FNCiaeniinee-FNAppelnotedebasdepageReferencianotaalpieFootnoteReferenceSuperscriptFootnoteReferenceArialBVIfnrSUPERSFootnotesymbolFZ"/>
    <w:qFormat/>
    <w:rsid w:val="00797449"/>
    <w:pPr>
      <w:spacing w:before="120" w:line="240" w:lineRule="exact"/>
    </w:pPr>
    <w:rPr>
      <w:vertAlign w:val="superscript"/>
    </w:rPr>
  </w:style>
  <w:style w:type="paragraph" w:customStyle="1" w:styleId="4441nienieTableFootnotelast1TableFootnotelastTableFootnotelast311">
    <w:name w:val="Текст сноски;Текст сноски Знак Знак Знак Знак;Знак4 Знак;Знак4;Знак4 Знак1;Сноски доклада;nienie;Table_Footnote_last Знак1;Table_Footnote_last Знак Знак Знак Знак;Table_Footnote_last Знак Знак;Знак31;Текст сноски Знак1 Знак;Текст сноски Знак Знак Знак;З"/>
    <w:basedOn w:val="a"/>
    <w:link w:val="2342444122nienieTableFootnotelast1TableFootnotelast31"/>
    <w:qFormat/>
    <w:rsid w:val="00797449"/>
    <w:pPr>
      <w:shd w:val="clear" w:color="auto" w:fill="FFFFFF"/>
      <w:spacing w:after="0" w:line="269" w:lineRule="exact"/>
      <w:ind w:firstLine="709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342444122nienieTableFootnotelast1TableFootnotelast31">
    <w:name w:val="Текст сноски Знак2;Текст сноски Знак Знак Знак Знак Знак3;Знак4 Знак Знак2;Знак4 Знак4;Знак4 Знак1 Знак2;Текст сноски Знак Знак2;Сноски доклада Знак;nienie Знак;Table_Footnote_last Знак1 Знак;Table_Footnote_last Знак Знак Знак Знак Знак;Знак31 Знак"/>
    <w:link w:val="4441nienieTableFootnotelast1TableFootnotelastTableFootnotelast311"/>
    <w:rsid w:val="00797449"/>
    <w:rPr>
      <w:rFonts w:ascii="Times New Roman" w:eastAsia="Times New Roman" w:hAnsi="Times New Roman" w:cs="Times New Roman"/>
      <w:b/>
      <w:bCs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OVPO</dc:creator>
  <cp:keywords/>
  <dc:description/>
  <cp:lastModifiedBy>OVPO</cp:lastModifiedBy>
  <cp:revision>13</cp:revision>
  <dcterms:created xsi:type="dcterms:W3CDTF">2023-04-21T07:01:00Z</dcterms:created>
  <dcterms:modified xsi:type="dcterms:W3CDTF">2026-03-31T05:12:00Z</dcterms:modified>
</cp:coreProperties>
</file>