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652"/>
        <w:jc w:val="center"/>
        <w:shd w:val="clear" w:color="ffffff" w:fill="ffffff"/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</w:rPr>
        <w:t xml:space="preserve">Территориальное общественное самоуправление</w:t>
      </w: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</w:rPr>
      </w:r>
    </w:p>
    <w:p>
      <w:pPr>
        <w:contextualSpacing w:val="0"/>
        <w:ind w:left="0" w:right="0" w:firstLine="708"/>
        <w:jc w:val="center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22272f"/>
          <w:sz w:val="28"/>
          <w:szCs w:val="28"/>
        </w:rPr>
        <w:t xml:space="preserve">Организационные основы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Территориальное общественное самоуправление (далее также - ТОС) отнесено законодателем к формам участия населения в осуществлении местного самоуправления, основывающимся на принципах законности и добровольности (</w:t>
      </w:r>
      <w:hyperlink r:id="rId8" w:tooltip="https://internet.garant.ru/#/document/411718599/entry/4202" w:history="1">
        <w:r>
          <w:rPr>
            <w:rStyle w:val="81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ч. 2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 </w:t>
      </w:r>
      <w:hyperlink r:id="rId9" w:tooltip="https://internet.garant.ru/#/document/411718599/entry/4204" w:history="1">
        <w:r>
          <w:rPr>
            <w:rStyle w:val="81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4 ст. 42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Федерального закона от 20.03.2025 N 33-ФЗ "Об общих принципах организации местного самоуправления в единой системе публичной власти", далее - Закон N 33-ФЗ).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Под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территориальным общественным самоуправлением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ния(</w:t>
      </w:r>
      <w:hyperlink r:id="rId10" w:tooltip="https://internet.garant.ru/#/document/411718599/entry/5001" w:history="1">
        <w:r>
          <w:rPr>
            <w:rStyle w:val="81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ч. 1 ст. 50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Закона N 33-ФЗ).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ТОС в соответствии с его уставом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может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являться юридическим лицом и подлежит государственной регистрации в организационно-правовой форме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некоммерческой организации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(</w:t>
      </w:r>
      <w:hyperlink r:id="rId11" w:tooltip="https://internet.garant.ru/#/document/411718599/entry/5007" w:history="1">
        <w:r>
          <w:rPr>
            <w:rStyle w:val="81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ч. 7 ст. 50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Закона N 33-ФЗ). В соответствии с буквальным толкованием ука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занной нормы, ТОС может осуществлять свою деятельность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 без регистрации в качестве юридического лица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Отсутствие у ТОС статуса юридического лица не может являться препятствием для реализации права на судебную защиту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Требования к содержанию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устава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ТОС, принятие которого относится к исключительным полномочиям собрания, конференции граждан, осуществляющих ТОС, установлены </w:t>
      </w:r>
      <w:hyperlink r:id="rId12" w:tooltip="https://internet.garant.ru/#/document/411718599/entry/5014" w:history="1">
        <w:r>
          <w:rPr>
            <w:rStyle w:val="81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ч. 14 ст. 50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Закона N 33-ФЗ. Так, в уставе ТОС подлежит отражению: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1) территория, на которой оно осуществляется;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2) цели, задачи, формы и основные направления деятельности территориального общественного самоуправления;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3) 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4) порядок принятия решений;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5) порядок приобретения имущества, а также порядок пользования и распоряжения указанным имуществом и финансовыми средствами;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6) порядок прекращения осуществления территориального общественного самоуправления.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Дополнительные требования к уставу территориального общественного самоуправления органами местного самоуправления устанавливаться не могут (</w:t>
      </w:r>
      <w:hyperlink r:id="rId13" w:tooltip="https://internet.garant.ru/#/document/411718599/entry/5015" w:history="1">
        <w:r>
          <w:rPr>
            <w:rStyle w:val="81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ч. 15 ст. 50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Закона N 33-ФЗ).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ТОС считается учрежденным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 момента регистрации его устава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уполномоченным органом местного самоуправления соответствующего муниципального образования. Если устав ТОС не зарегистрирован, то он не считается учрежденным.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При этом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 </w:t>
      </w:r>
      <w:hyperlink r:id="rId14" w:tooltip="https://internet.garant.ru/#/document/411718599/entry/5006" w:history="1">
        <w:r>
          <w:rPr>
            <w:rStyle w:val="81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ч. 6 ст. 50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Закона N 33-ФЗ.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соответствии с </w:t>
      </w:r>
      <w:hyperlink r:id="rId15" w:tooltip="https://internet.garant.ru/#/document/411718599/entry/5004" w:history="1">
        <w:r>
          <w:rPr>
            <w:rStyle w:val="81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ч. 4 ст. 50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Закона N 33-ФЗ ТОС может осуществляться в пределах следующих территорий проживания граждан: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 многоквартирный жилой дом,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 группа жилых домов,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 жилой микрорайон,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 сельский населенный пункт,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 иные территории проживания граждан.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Таким образом, перечень, изложенный в </w:t>
      </w:r>
      <w:hyperlink r:id="rId16" w:tooltip="https://internet.garant.ru/#/document/411718599/entry/5004" w:history="1">
        <w:r>
          <w:rPr>
            <w:rStyle w:val="81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ч. 4 ст. 50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Закона N 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3-ФЗ,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не является закрытым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Однако каждая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 вышеуказанных территорий проживания граждан может входить только в одно территориальное общественное самоуправление.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При этом конкретные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границы территории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на которой осуществляется ТОС, устанавливаются по предложению населения, проживающего на соответствующей территории, представительным органом муниципального образования (</w:t>
      </w:r>
      <w:hyperlink r:id="rId17" w:tooltip="https://internet.garant.ru/#/document/411718599/entry/5002" w:history="1">
        <w:r>
          <w:rPr>
            <w:rStyle w:val="81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ч. 2 ст. 50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Закона N 33-ФЗ).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Формы осуществления территориального общественного самоуправления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соответствии с </w:t>
      </w:r>
      <w:hyperlink r:id="rId18" w:tooltip="https://internet.garant.ru/#/document/411718599/entry/5003" w:history="1">
        <w:r>
          <w:rPr>
            <w:rStyle w:val="81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ч. 3 ст. 50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Закона N 33-ФЗ ТОС осуществляется непосредственно населением путем: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 проведения собраний (конференций) граждан,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 создания органов ТОС.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 общим правилам, по вопросам организации и осуществления территориального общественного самоуправления проводятся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собрания граждан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Собрание граждан считается правомочным, если в нем принимают участие не менее 1/3 жителей соответствующей территории, достигших 18 лет (</w:t>
      </w:r>
      <w:hyperlink r:id="rId19" w:tooltip="https://internet.garant.ru/#/document/411718599/entry/5008" w:history="1">
        <w:r>
          <w:rPr>
            <w:rStyle w:val="81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ч. 8 ст. 50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Закона N 33-ФЗ).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Между тем, в случаях, предусмотренных уставом муниципального образования и (или) нормативными правовыми актами представительного органа муниципального образования, уставом ТОС, полномочия собрания граждан могут осуществляться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конференцией граждан (собранием делегатов)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(</w:t>
      </w:r>
      <w:hyperlink r:id="rId20" w:tooltip="https://internet.garant.ru/#/document/411718599/entry/5009" w:history="1">
        <w:r>
          <w:rPr>
            <w:rStyle w:val="81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ч. 9 ст. 50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Закона N 33-ФЗ). В таком случае, порядок назначения и проведения конференции граждан (собрания делегатов), избрания делегатов также определяется уставом муниципального образования и (или) нормативными правовыми актами представительного органа муниципально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го образования, уставом ТОС.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Отметим, что согласно </w:t>
      </w:r>
      <w:hyperlink r:id="rId21" w:tooltip="https://internet.garant.ru/#/document/411718599/entry/5010" w:history="1">
        <w:r>
          <w:rPr>
            <w:rStyle w:val="81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ч. 10 ст. 50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Закона N 33-ФЗ конференция граждан по вопросам организации и осуществления ТОС считается правомочной, если в ней принимают участие не менее 2/3 избранных на собраниях граждан делегатов, представляющих не менее 1/3 жителей соответствующей территории, дости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гших 18 лет.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Органы ТОС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избранные на собраниях (конференциях) граждан, проживающих на соответствующей территории (</w:t>
      </w:r>
      <w:hyperlink r:id="rId22" w:tooltip="https://internet.garant.ru/#/document/411718599/entry/5005" w:history="1">
        <w:r>
          <w:rPr>
            <w:rStyle w:val="81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ч. 5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 </w:t>
      </w:r>
      <w:hyperlink r:id="rId23" w:tooltip="https://internet.garant.ru/#/document/411718599/entry/5011" w:history="1">
        <w:r>
          <w:rPr>
            <w:rStyle w:val="81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11 ст. 50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Закона N 33-ФЗ), наделяются следующими полномочиями: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 действуют в интересах населения, проживающего на соответствующей территории;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 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граждан, так и на основании договора между органами ТОС и органами местного самоуправления с использованием средств местного бюджета;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 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 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 могут выдвигать инициативный проект в качестве инициаторов проекта.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firstLine="652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#/document/411718599/entry/4202" TargetMode="External"/><Relationship Id="rId9" Type="http://schemas.openxmlformats.org/officeDocument/2006/relationships/hyperlink" Target="https://internet.garant.ru/#/document/411718599/entry/4204" TargetMode="External"/><Relationship Id="rId10" Type="http://schemas.openxmlformats.org/officeDocument/2006/relationships/hyperlink" Target="https://internet.garant.ru/#/document/411718599/entry/5001" TargetMode="External"/><Relationship Id="rId11" Type="http://schemas.openxmlformats.org/officeDocument/2006/relationships/hyperlink" Target="https://internet.garant.ru/#/document/411718599/entry/5007" TargetMode="External"/><Relationship Id="rId12" Type="http://schemas.openxmlformats.org/officeDocument/2006/relationships/hyperlink" Target="https://internet.garant.ru/#/document/411718599/entry/5014" TargetMode="External"/><Relationship Id="rId13" Type="http://schemas.openxmlformats.org/officeDocument/2006/relationships/hyperlink" Target="https://internet.garant.ru/#/document/411718599/entry/5015" TargetMode="External"/><Relationship Id="rId14" Type="http://schemas.openxmlformats.org/officeDocument/2006/relationships/hyperlink" Target="https://internet.garant.ru/#/document/411718599/entry/5006" TargetMode="External"/><Relationship Id="rId15" Type="http://schemas.openxmlformats.org/officeDocument/2006/relationships/hyperlink" Target="https://internet.garant.ru/#/document/411718599/entry/5004" TargetMode="External"/><Relationship Id="rId16" Type="http://schemas.openxmlformats.org/officeDocument/2006/relationships/hyperlink" Target="https://internet.garant.ru/#/document/411718599/entry/5004" TargetMode="External"/><Relationship Id="rId17" Type="http://schemas.openxmlformats.org/officeDocument/2006/relationships/hyperlink" Target="https://internet.garant.ru/#/document/411718599/entry/5002" TargetMode="External"/><Relationship Id="rId18" Type="http://schemas.openxmlformats.org/officeDocument/2006/relationships/hyperlink" Target="https://internet.garant.ru/#/document/411718599/entry/5003" TargetMode="External"/><Relationship Id="rId19" Type="http://schemas.openxmlformats.org/officeDocument/2006/relationships/hyperlink" Target="https://internet.garant.ru/#/document/411718599/entry/5008" TargetMode="External"/><Relationship Id="rId20" Type="http://schemas.openxmlformats.org/officeDocument/2006/relationships/hyperlink" Target="https://internet.garant.ru/#/document/411718599/entry/5009" TargetMode="External"/><Relationship Id="rId21" Type="http://schemas.openxmlformats.org/officeDocument/2006/relationships/hyperlink" Target="https://internet.garant.ru/#/document/411718599/entry/5010" TargetMode="External"/><Relationship Id="rId22" Type="http://schemas.openxmlformats.org/officeDocument/2006/relationships/hyperlink" Target="https://internet.garant.ru/#/document/411718599/entry/5005" TargetMode="External"/><Relationship Id="rId23" Type="http://schemas.openxmlformats.org/officeDocument/2006/relationships/hyperlink" Target="https://internet.garant.ru/#/document/411718599/entry/501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cheremuhinanch</cp:lastModifiedBy>
  <cp:revision>3</cp:revision>
  <dcterms:modified xsi:type="dcterms:W3CDTF">2026-02-25T07:16:22Z</dcterms:modified>
</cp:coreProperties>
</file>