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tabs>
          <w:tab w:val="left" w:pos="8460" w:leader="none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2  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spacing w:after="0" w:line="240" w:lineRule="auto"/>
        <w:tabs>
          <w:tab w:val="left" w:pos="84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 протоколу</w:t>
      </w:r>
      <w:r>
        <w:rPr>
          <w:rFonts w:ascii="Times New Roman" w:hAnsi="Times New Roman" w:cs="Times New Roman"/>
          <w:sz w:val="24"/>
          <w:szCs w:val="24"/>
        </w:rPr>
        <w:t xml:space="preserve"> очередного заседания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240" w:lineRule="auto"/>
        <w:tabs>
          <w:tab w:val="left" w:pos="84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Комиссии по профилактике правонарушений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240" w:lineRule="auto"/>
        <w:tabs>
          <w:tab w:val="left" w:pos="84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городе Нефтеюганске  от </w:t>
      </w:r>
      <w:r>
        <w:rPr>
          <w:rFonts w:ascii="Times New Roman" w:hAnsi="Times New Roman" w:cs="Times New Roman"/>
          <w:sz w:val="24"/>
          <w:szCs w:val="24"/>
        </w:rPr>
        <w:t xml:space="preserve">16.12.2025 </w:t>
      </w:r>
      <w:r>
        <w:rPr>
          <w:rFonts w:ascii="Times New Roman" w:hAnsi="Times New Roman" w:cs="Times New Roman"/>
          <w:sz w:val="24"/>
          <w:szCs w:val="24"/>
        </w:rPr>
        <w:t xml:space="preserve">№ 5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240" w:lineRule="auto"/>
        <w:tabs>
          <w:tab w:val="left" w:pos="1204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tabs>
          <w:tab w:val="left" w:pos="12049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Межведомственный план мероприятий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tabs>
          <w:tab w:val="left" w:pos="6135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профилактике </w:t>
      </w:r>
      <w:r>
        <w:rPr>
          <w:rFonts w:ascii="Times New Roman" w:hAnsi="Times New Roman" w:cs="Times New Roman"/>
          <w:b/>
          <w:sz w:val="28"/>
          <w:szCs w:val="28"/>
        </w:rPr>
        <w:t xml:space="preserve">дистанционных мошенничеств и краж безналичных денежных средств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tabs>
          <w:tab w:val="left" w:pos="6135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террит</w:t>
      </w:r>
      <w:r>
        <w:rPr>
          <w:rFonts w:ascii="Times New Roman" w:hAnsi="Times New Roman" w:cs="Times New Roman"/>
          <w:b/>
          <w:sz w:val="28"/>
          <w:szCs w:val="28"/>
        </w:rPr>
        <w:t xml:space="preserve">ории города Нефтеюганска на 2026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tabs>
          <w:tab w:val="left" w:pos="6135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Style w:val="853"/>
        <w:tblW w:w="0" w:type="auto"/>
        <w:tblLook w:val="04A0" w:firstRow="1" w:lastRow="0" w:firstColumn="1" w:lastColumn="0" w:noHBand="0" w:noVBand="1"/>
      </w:tblPr>
      <w:tblGrid>
        <w:gridCol w:w="694"/>
        <w:gridCol w:w="7239"/>
        <w:gridCol w:w="2835"/>
        <w:gridCol w:w="4111"/>
      </w:tblGrid>
      <w:tr>
        <w:tblPrEx/>
        <w:trPr>
          <w:trHeight w:val="489"/>
          <w:tblHeader/>
        </w:trPr>
        <w:tc>
          <w:tcPr>
            <w:tcW w:w="694" w:type="dxa"/>
            <w:textDirection w:val="lrTb"/>
            <w:noWrap w:val="false"/>
          </w:tcPr>
          <w:p>
            <w:pPr>
              <w:jc w:val="center"/>
              <w:tabs>
                <w:tab w:val="left" w:pos="613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39" w:type="dxa"/>
            <w:textDirection w:val="lrTb"/>
            <w:noWrap w:val="false"/>
          </w:tcPr>
          <w:p>
            <w:pPr>
              <w:jc w:val="center"/>
              <w:tabs>
                <w:tab w:val="left" w:pos="613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tabs>
                <w:tab w:val="left" w:pos="613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исполнения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tabs>
                <w:tab w:val="left" w:pos="613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исполнители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356"/>
        </w:trPr>
        <w:tc>
          <w:tcPr>
            <w:tcW w:w="694" w:type="dxa"/>
            <w:textDirection w:val="lrTb"/>
            <w:noWrap w:val="false"/>
          </w:tcPr>
          <w:p>
            <w:pPr>
              <w:jc w:val="center"/>
              <w:tabs>
                <w:tab w:val="left" w:pos="613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3"/>
            <w:tcW w:w="14185" w:type="dxa"/>
            <w:textDirection w:val="lrTb"/>
            <w:noWrap w:val="false"/>
          </w:tcPr>
          <w:p>
            <w:pPr>
              <w:jc w:val="center"/>
              <w:tabs>
                <w:tab w:val="left" w:pos="613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Проведение разъяснительной работы среди населения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tabs>
                <w:tab w:val="left" w:pos="613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356"/>
        </w:trPr>
        <w:tc>
          <w:tcPr>
            <w:tcW w:w="694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39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методического сопровождения, в части направления предупредительной информации по профилактике дистанционных краж и мошенничеств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6135" w:leader="none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Ежемесячно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tabs>
                <w:tab w:val="left" w:pos="6135" w:leader="none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(с предоставлением информации до 10 числа месяца следующего за отчетным)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4111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ОМВД России по г.Нефтеюганску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6"/>
        </w:trPr>
        <w:tc>
          <w:tcPr>
            <w:tcW w:w="694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39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сотрудников ОМВД России по городу Нефтеюганску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проведении встреч с трудовыми коллективами органов и структурных подразделений администрации города, и 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учреждений, 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целях профилактики и информирования населения о способах и видах мошенничества, с использованием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 предоставлением информации до 10 числа месяца следующего за отчетным)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111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ОМВД России по г.Нефтеюганску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4" w:type="dxa"/>
            <w:textDirection w:val="lrTb"/>
            <w:noWrap w:val="false"/>
          </w:tcPr>
          <w:p>
            <w:pPr>
              <w:jc w:val="center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39" w:type="dxa"/>
            <w:textDirection w:val="lrTb"/>
            <w:noWrap w:val="false"/>
          </w:tcPr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сотрудников ОМВД России по городу Нефтеюганску в общешкольных родительских собраниях на базе образовательных организаций, в целях профилактики и информирования населения о способах и видах мошенничества, с использованием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 предоставлением информации до 10 числа месяца следующего за отчетным)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ОМВД России по г.Нефтеюганску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4" w:type="dxa"/>
            <w:textDirection w:val="lrTb"/>
            <w:noWrap w:val="false"/>
          </w:tcPr>
          <w:p>
            <w:pPr>
              <w:jc w:val="center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39" w:type="dxa"/>
            <w:textDirection w:val="lrTb"/>
            <w:noWrap w:val="false"/>
          </w:tcPr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взаимодействия с расчётно-кассовым центром г.Нефтеюганска (либо УК, ТСЖ, ЖЭУ), с целью распространения среди населения города инфор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мации по предупреждению мошенничеств и защите от них,  на обратной стороне квитанций об оплате за жилищно-коммунальные услуги.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жемесячно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 предоставлением информации до 10 числа месяца следующего за отчетным)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жилищно-коммунального хозяйства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4" w:type="dxa"/>
            <w:textDirection w:val="lrTb"/>
            <w:noWrap w:val="false"/>
          </w:tcPr>
          <w:p>
            <w:pPr>
              <w:jc w:val="center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39" w:type="dxa"/>
            <w:textDirection w:val="lrTb"/>
            <w:noWrap w:val="false"/>
          </w:tcPr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среди населения города информации по предупреждению мошенничеств и защите от них, путем размещения на информационных стендах многоквартирных домов по средствам УК, ТСЖ, ЖЭУ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предоставлением информации до 10 числа месяца следующего за отчетным)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жилищно-коммунального хозяйства администрации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r/>
            <w:r/>
          </w:p>
        </w:tc>
      </w:tr>
      <w:tr>
        <w:tblPrEx/>
        <w:trPr/>
        <w:tc>
          <w:tcPr>
            <w:tcW w:w="694" w:type="dxa"/>
            <w:textDirection w:val="lrTb"/>
            <w:noWrap w:val="false"/>
          </w:tcPr>
          <w:p>
            <w:pPr>
              <w:jc w:val="center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39" w:type="dxa"/>
            <w:textDirection w:val="lrTb"/>
            <w:noWrap w:val="false"/>
          </w:tcPr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тиражирование памяток, баннеров, социальной рекламы, направленных на профилактику дистанционных краж и мошенничеств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613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 предоставлением информации до 10 числа месяца следующего за отчетным)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организации деятельности по вопросам общественной безопасности администрации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94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1.7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39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Сопровождение ответов должностных лиц администрации города заявителям обращений разъяснительными материалами по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ротиводействию киберпреступлениям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 предоставлением информации до 10 числа месяца следующего за отчетным)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1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делам администрации (отдел по работе с обращениями граждан)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4" w:type="dxa"/>
            <w:textDirection w:val="lrTb"/>
            <w:noWrap w:val="false"/>
          </w:tcPr>
          <w:p>
            <w:pPr>
              <w:jc w:val="center"/>
              <w:tabs>
                <w:tab w:val="left" w:pos="613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3"/>
            <w:tcW w:w="14185" w:type="dxa"/>
            <w:textDirection w:val="lrTb"/>
            <w:noWrap w:val="false"/>
          </w:tcPr>
          <w:p>
            <w:pPr>
              <w:jc w:val="center"/>
              <w:tabs>
                <w:tab w:val="left" w:pos="613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Проведение разъяснительной работы в трудовых коллективах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tabs>
                <w:tab w:val="left" w:pos="613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94" w:type="dxa"/>
            <w:textDirection w:val="lrTb"/>
            <w:noWrap w:val="false"/>
          </w:tcPr>
          <w:p>
            <w:pPr>
              <w:jc w:val="center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39" w:type="dxa"/>
            <w:textDirection w:val="lrTb"/>
            <w:noWrap w:val="false"/>
          </w:tcPr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информации, направленной на профилактику дистанционных краж и мошенничеств,  до муниципальных служащих и сотрудников подведомственных учреждений в ходе собраний трудовых коллективов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613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 предоставлением информации до 10 числа месяца следующе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за отчетным)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делам администрации;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администрации города;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экономического развития администрации города;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администрации города;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муниципального имущества администрации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градостроительства и земельных отношений администрации города;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жилищно-коммунального хозяйства администрации города;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культуры и туризма;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физической культуры и спорта;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специальных мероприятий;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равовое управление;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Управление муниципального заказа;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Служба муниципального контроля;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Отдел финансового контроля;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Отдел по делам ГОиЧС;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Отдел по организации деятельности по делам несовершеннолетних и защите их прав администрации города;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Отдел по обеспечению деятельности административной комиссии администрации города.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94" w:type="dxa"/>
            <w:textDirection w:val="lrTb"/>
            <w:noWrap w:val="false"/>
          </w:tcPr>
          <w:p>
            <w:pPr>
              <w:jc w:val="center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39" w:type="dxa"/>
            <w:textDirection w:val="lrTb"/>
            <w:noWrap w:val="false"/>
          </w:tcPr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информации, направленной на профилактику дистанционных краж и мошенничеств,  до муниципальных служащих и сотрудников подведомственных учреждений по средствам чатов различных мессенджеров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 предоставлением информации до 10 числа месяца следующего за отчетным)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делам администрации;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администрации города;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экономического развития администрации города;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администрации города;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муниципального имущества администрации города;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градостроительства и земельных отношений администрации города;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жилищно-коммунального хозяйства администрации города;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культуры и туризма;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физической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и спорта;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специальных мероприятий;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Юридическо-правовое управление;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Управление муниципального заказа;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Служба муниципального контроля;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Отдел финансового контроля;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Отдел по делам ГОиЧС;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Отдел по организации деятельности по делам несовершеннолетних и защите их прав администрации города;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Отдел по обеспечению деятельности административной комиссии администрации города.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4" w:type="dxa"/>
            <w:textDirection w:val="lrTb"/>
            <w:noWrap w:val="false"/>
          </w:tcPr>
          <w:p>
            <w:pPr>
              <w:jc w:val="center"/>
              <w:tabs>
                <w:tab w:val="left" w:pos="613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3"/>
            <w:tcW w:w="14185" w:type="dxa"/>
            <w:textDirection w:val="lrTb"/>
            <w:noWrap w:val="false"/>
          </w:tcPr>
          <w:p>
            <w:pPr>
              <w:jc w:val="center"/>
              <w:tabs>
                <w:tab w:val="left" w:pos="613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Публикация информационных материалов в социальных сетях и СМИ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tabs>
                <w:tab w:val="left" w:pos="613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94" w:type="dxa"/>
            <w:textDirection w:val="lrTb"/>
            <w:noWrap w:val="false"/>
          </w:tcPr>
          <w:p>
            <w:pPr>
              <w:jc w:val="center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39" w:type="dxa"/>
            <w:textDirection w:val="lrTb"/>
            <w:noWrap w:val="false"/>
          </w:tcPr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видах мошенничеств и способах защиты от них на официальных сайтах подведомственных учреждений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613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 предоставлением информации до 10 числа месяца следующего за отчетным 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администрации города;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тет культуры и туризма;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физической культуры и спорта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94" w:type="dxa"/>
            <w:textDirection w:val="lrTb"/>
            <w:noWrap w:val="false"/>
          </w:tcPr>
          <w:p>
            <w:pPr>
              <w:jc w:val="center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39" w:type="dxa"/>
            <w:textDirection w:val="lrTb"/>
            <w:noWrap w:val="false"/>
          </w:tcPr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по профилактике дистанционных хищений имущества граждан на официальном сайте органов местного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самоуправления, в СМИ, в группах социальных сетей Интернет-платформ (ВКон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такте, Одноклассники,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Telegram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предоставлением информации до 10 числа месяца следующего за отчетным)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Информационно-аналитический отдел администрации 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4" w:type="dxa"/>
            <w:textDirection w:val="lrTb"/>
            <w:noWrap w:val="false"/>
          </w:tcPr>
          <w:p>
            <w:pPr>
              <w:jc w:val="center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39" w:type="dxa"/>
            <w:textDirection w:val="lrTb"/>
            <w:noWrap w:val="false"/>
          </w:tcPr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радиоэфиров и освещение в СМИ, в группах социал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ьных сетей Интернет-платформ (ВКонтакте, Одноклассники,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Telegram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др.) информации о результатах работы ОМВД России по городу Нефтеюганску в сфере противодействия дистанционных мошенничеств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 предоставлением информации до 10 числа месяца след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ующего за отчетным)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tabs>
                <w:tab w:val="left" w:pos="61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ОМВД России по г.Нефтеюганску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center"/>
        <w:spacing w:after="0" w:line="240" w:lineRule="auto"/>
        <w:tabs>
          <w:tab w:val="left" w:pos="6135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tabs>
          <w:tab w:val="left" w:pos="6135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tabs>
          <w:tab w:val="left" w:pos="613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комиссии по профилактике правонарушений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п/п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С.В.Мамаева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6838" w:h="11906" w:orient="landscape"/>
      <w:pgMar w:top="709" w:right="678" w:bottom="992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2"/>
    <w:link w:val="673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2"/>
    <w:link w:val="674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2"/>
    <w:link w:val="675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2"/>
    <w:link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2"/>
    <w:link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2"/>
    <w:link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2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2"/>
    <w:link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2"/>
    <w:link w:val="681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2"/>
    <w:link w:val="696"/>
    <w:uiPriority w:val="10"/>
    <w:rPr>
      <w:sz w:val="48"/>
      <w:szCs w:val="48"/>
    </w:rPr>
  </w:style>
  <w:style w:type="character" w:styleId="664">
    <w:name w:val="Subtitle Char"/>
    <w:basedOn w:val="682"/>
    <w:link w:val="698"/>
    <w:uiPriority w:val="11"/>
    <w:rPr>
      <w:sz w:val="24"/>
      <w:szCs w:val="24"/>
    </w:rPr>
  </w:style>
  <w:style w:type="character" w:styleId="665">
    <w:name w:val="Quote Char"/>
    <w:link w:val="700"/>
    <w:uiPriority w:val="29"/>
    <w:rPr>
      <w:i/>
    </w:rPr>
  </w:style>
  <w:style w:type="character" w:styleId="666">
    <w:name w:val="Intense Quote Char"/>
    <w:link w:val="702"/>
    <w:uiPriority w:val="30"/>
    <w:rPr>
      <w:i/>
    </w:rPr>
  </w:style>
  <w:style w:type="character" w:styleId="667">
    <w:name w:val="Header Char"/>
    <w:basedOn w:val="682"/>
    <w:link w:val="704"/>
    <w:uiPriority w:val="99"/>
  </w:style>
  <w:style w:type="character" w:styleId="668">
    <w:name w:val="Footer Char"/>
    <w:basedOn w:val="682"/>
    <w:link w:val="706"/>
    <w:uiPriority w:val="99"/>
  </w:style>
  <w:style w:type="character" w:styleId="669">
    <w:name w:val="Caption Char"/>
    <w:basedOn w:val="682"/>
    <w:link w:val="708"/>
    <w:uiPriority w:val="35"/>
    <w:rPr>
      <w:b/>
      <w:bCs/>
      <w:color w:val="4f81bd" w:themeColor="accent1"/>
      <w:sz w:val="18"/>
      <w:szCs w:val="18"/>
    </w:rPr>
  </w:style>
  <w:style w:type="character" w:styleId="670">
    <w:name w:val="Footnote Text Char"/>
    <w:link w:val="836"/>
    <w:uiPriority w:val="99"/>
    <w:rPr>
      <w:sz w:val="18"/>
    </w:rPr>
  </w:style>
  <w:style w:type="character" w:styleId="671">
    <w:name w:val="Endnote Text Char"/>
    <w:link w:val="839"/>
    <w:uiPriority w:val="99"/>
    <w:rPr>
      <w:sz w:val="20"/>
    </w:rPr>
  </w:style>
  <w:style w:type="paragraph" w:styleId="672" w:default="1">
    <w:name w:val="Normal"/>
    <w:qFormat/>
  </w:style>
  <w:style w:type="paragraph" w:styleId="673">
    <w:name w:val="Heading 1"/>
    <w:basedOn w:val="672"/>
    <w:next w:val="67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4">
    <w:name w:val="Heading 2"/>
    <w:basedOn w:val="672"/>
    <w:next w:val="672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5">
    <w:name w:val="Heading 3"/>
    <w:basedOn w:val="672"/>
    <w:next w:val="672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6">
    <w:name w:val="Heading 4"/>
    <w:basedOn w:val="672"/>
    <w:next w:val="672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7">
    <w:name w:val="Heading 5"/>
    <w:basedOn w:val="672"/>
    <w:next w:val="672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672"/>
    <w:next w:val="672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79">
    <w:name w:val="Heading 7"/>
    <w:basedOn w:val="672"/>
    <w:next w:val="672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0">
    <w:name w:val="Heading 8"/>
    <w:basedOn w:val="672"/>
    <w:next w:val="672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1">
    <w:name w:val="Heading 9"/>
    <w:basedOn w:val="672"/>
    <w:next w:val="672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 w:default="1">
    <w:name w:val="Default Paragraph Font"/>
    <w:uiPriority w:val="1"/>
    <w:semiHidden/>
    <w:unhideWhenUsed/>
  </w:style>
  <w:style w:type="table" w:styleId="6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4" w:default="1">
    <w:name w:val="No List"/>
    <w:uiPriority w:val="99"/>
    <w:semiHidden/>
    <w:unhideWhenUsed/>
  </w:style>
  <w:style w:type="character" w:styleId="685" w:customStyle="1">
    <w:name w:val="Заголовок 1 Знак"/>
    <w:basedOn w:val="682"/>
    <w:link w:val="673"/>
    <w:uiPriority w:val="9"/>
    <w:rPr>
      <w:rFonts w:ascii="Arial" w:hAnsi="Arial" w:eastAsia="Arial" w:cs="Arial"/>
      <w:sz w:val="40"/>
      <w:szCs w:val="40"/>
    </w:rPr>
  </w:style>
  <w:style w:type="character" w:styleId="686" w:customStyle="1">
    <w:name w:val="Заголовок 2 Знак"/>
    <w:basedOn w:val="682"/>
    <w:link w:val="674"/>
    <w:uiPriority w:val="9"/>
    <w:rPr>
      <w:rFonts w:ascii="Arial" w:hAnsi="Arial" w:eastAsia="Arial" w:cs="Arial"/>
      <w:sz w:val="34"/>
    </w:rPr>
  </w:style>
  <w:style w:type="character" w:styleId="687" w:customStyle="1">
    <w:name w:val="Заголовок 3 Знак"/>
    <w:basedOn w:val="682"/>
    <w:link w:val="675"/>
    <w:uiPriority w:val="9"/>
    <w:rPr>
      <w:rFonts w:ascii="Arial" w:hAnsi="Arial" w:eastAsia="Arial" w:cs="Arial"/>
      <w:sz w:val="30"/>
      <w:szCs w:val="30"/>
    </w:rPr>
  </w:style>
  <w:style w:type="character" w:styleId="688" w:customStyle="1">
    <w:name w:val="Заголовок 4 Знак"/>
    <w:basedOn w:val="682"/>
    <w:link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Заголовок 5 Знак"/>
    <w:basedOn w:val="682"/>
    <w:link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Заголовок 6 Знак"/>
    <w:basedOn w:val="682"/>
    <w:link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Заголовок 7 Знак"/>
    <w:basedOn w:val="682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Заголовок 8 Знак"/>
    <w:basedOn w:val="682"/>
    <w:link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Заголовок 9 Знак"/>
    <w:basedOn w:val="682"/>
    <w:link w:val="681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672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after="0" w:line="240" w:lineRule="auto"/>
    </w:pPr>
  </w:style>
  <w:style w:type="paragraph" w:styleId="696">
    <w:name w:val="Title"/>
    <w:basedOn w:val="672"/>
    <w:next w:val="672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 w:customStyle="1">
    <w:name w:val="Заголовок Знак"/>
    <w:basedOn w:val="682"/>
    <w:link w:val="696"/>
    <w:uiPriority w:val="10"/>
    <w:rPr>
      <w:sz w:val="48"/>
      <w:szCs w:val="48"/>
    </w:rPr>
  </w:style>
  <w:style w:type="paragraph" w:styleId="698">
    <w:name w:val="Subtitle"/>
    <w:basedOn w:val="672"/>
    <w:next w:val="672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 w:customStyle="1">
    <w:name w:val="Подзаголовок Знак"/>
    <w:basedOn w:val="682"/>
    <w:link w:val="698"/>
    <w:uiPriority w:val="11"/>
    <w:rPr>
      <w:sz w:val="24"/>
      <w:szCs w:val="24"/>
    </w:rPr>
  </w:style>
  <w:style w:type="paragraph" w:styleId="700">
    <w:name w:val="Quote"/>
    <w:basedOn w:val="672"/>
    <w:next w:val="672"/>
    <w:link w:val="701"/>
    <w:uiPriority w:val="29"/>
    <w:qFormat/>
    <w:pPr>
      <w:ind w:left="720" w:right="720"/>
    </w:pPr>
    <w:rPr>
      <w:i/>
    </w:rPr>
  </w:style>
  <w:style w:type="character" w:styleId="701" w:customStyle="1">
    <w:name w:val="Цитата 2 Знак"/>
    <w:link w:val="700"/>
    <w:uiPriority w:val="29"/>
    <w:rPr>
      <w:i/>
    </w:rPr>
  </w:style>
  <w:style w:type="paragraph" w:styleId="702">
    <w:name w:val="Intense Quote"/>
    <w:basedOn w:val="672"/>
    <w:next w:val="672"/>
    <w:link w:val="70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 w:customStyle="1">
    <w:name w:val="Выделенная цитата Знак"/>
    <w:link w:val="702"/>
    <w:uiPriority w:val="30"/>
    <w:rPr>
      <w:i/>
    </w:rPr>
  </w:style>
  <w:style w:type="paragraph" w:styleId="704">
    <w:name w:val="Header"/>
    <w:basedOn w:val="672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 w:customStyle="1">
    <w:name w:val="Верхний колонтитул Знак"/>
    <w:basedOn w:val="682"/>
    <w:link w:val="704"/>
    <w:uiPriority w:val="99"/>
  </w:style>
  <w:style w:type="paragraph" w:styleId="706">
    <w:name w:val="Footer"/>
    <w:basedOn w:val="672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 w:customStyle="1">
    <w:name w:val="Нижний колонтитул Знак"/>
    <w:basedOn w:val="682"/>
    <w:link w:val="706"/>
    <w:uiPriority w:val="99"/>
  </w:style>
  <w:style w:type="paragraph" w:styleId="708">
    <w:name w:val="Caption"/>
    <w:basedOn w:val="672"/>
    <w:next w:val="672"/>
    <w:link w:val="70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9" w:customStyle="1">
    <w:name w:val="Название объекта Знак"/>
    <w:basedOn w:val="682"/>
    <w:link w:val="708"/>
    <w:uiPriority w:val="35"/>
    <w:rPr>
      <w:b/>
      <w:bCs/>
      <w:color w:val="5b9bd5" w:themeColor="accent1"/>
      <w:sz w:val="18"/>
      <w:szCs w:val="18"/>
    </w:rPr>
  </w:style>
  <w:style w:type="table" w:styleId="710" w:customStyle="1">
    <w:name w:val="Table Grid Light"/>
    <w:basedOn w:val="68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1">
    <w:name w:val="Plain Table 1"/>
    <w:basedOn w:val="68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68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9" w:customStyle="1">
    <w:name w:val="Grid Table 4 - Accent 2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0" w:customStyle="1">
    <w:name w:val="Grid Table 4 - Accent 3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1" w:customStyle="1">
    <w:name w:val="Grid Table 4 - Accent 4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2" w:customStyle="1">
    <w:name w:val="Grid Table 4 - Accent 5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3" w:customStyle="1">
    <w:name w:val="Grid Table 4 - Accent 6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4">
    <w:name w:val="Grid Table 5 Dark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1">
    <w:name w:val="Grid Table 6 Colorful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3" w:customStyle="1">
    <w:name w:val="Grid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4" w:customStyle="1">
    <w:name w:val="Grid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5" w:customStyle="1">
    <w:name w:val="Grid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6" w:customStyle="1">
    <w:name w:val="Grid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7" w:customStyle="1">
    <w:name w:val="Grid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8">
    <w:name w:val="Grid Table 7 Colorful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>
    <w:name w:val="List Table 6 Colorful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2" w:customStyle="1">
    <w:name w:val="List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List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4" w:customStyle="1">
    <w:name w:val="List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List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6" w:customStyle="1">
    <w:name w:val="List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7">
    <w:name w:val="List Table 7 Colorful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ned - Accent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6" w:customStyle="1">
    <w:name w:val="Lined - Accent 2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7" w:customStyle="1">
    <w:name w:val="Lined - Accent 3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8" w:customStyle="1">
    <w:name w:val="Lined - Accent 4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9" w:customStyle="1">
    <w:name w:val="Lined - Accent 5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0" w:customStyle="1">
    <w:name w:val="Lined - Accent 6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1" w:customStyle="1">
    <w:name w:val="Bordered &amp; Lined - Accent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3" w:customStyle="1">
    <w:name w:val="Bordered &amp; Lined - Accent 2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Bordered &amp; Lined - Accent 3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Bordered &amp; Lined - Accent 4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Bordered &amp; Lined - Accent 5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7" w:customStyle="1">
    <w:name w:val="Bordered &amp; Lined - Accent 6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0" w:customStyle="1">
    <w:name w:val="Bordered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1" w:customStyle="1">
    <w:name w:val="Bordered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2" w:customStyle="1">
    <w:name w:val="Bordered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3" w:customStyle="1">
    <w:name w:val="Bordered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4" w:customStyle="1">
    <w:name w:val="Bordered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563c1" w:themeColor="hyperlink"/>
      <w:u w:val="single"/>
    </w:rPr>
  </w:style>
  <w:style w:type="paragraph" w:styleId="836">
    <w:name w:val="footnote text"/>
    <w:basedOn w:val="672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82"/>
    <w:uiPriority w:val="99"/>
    <w:unhideWhenUsed/>
    <w:rPr>
      <w:vertAlign w:val="superscript"/>
    </w:rPr>
  </w:style>
  <w:style w:type="paragraph" w:styleId="839">
    <w:name w:val="endnote text"/>
    <w:basedOn w:val="672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82"/>
    <w:uiPriority w:val="99"/>
    <w:semiHidden/>
    <w:unhideWhenUsed/>
    <w:rPr>
      <w:vertAlign w:val="superscript"/>
    </w:rPr>
  </w:style>
  <w:style w:type="paragraph" w:styleId="842">
    <w:name w:val="toc 1"/>
    <w:basedOn w:val="672"/>
    <w:next w:val="672"/>
    <w:uiPriority w:val="39"/>
    <w:unhideWhenUsed/>
    <w:pPr>
      <w:spacing w:after="57"/>
    </w:pPr>
  </w:style>
  <w:style w:type="paragraph" w:styleId="843">
    <w:name w:val="toc 2"/>
    <w:basedOn w:val="672"/>
    <w:next w:val="672"/>
    <w:uiPriority w:val="39"/>
    <w:unhideWhenUsed/>
    <w:pPr>
      <w:ind w:left="283"/>
      <w:spacing w:after="57"/>
    </w:pPr>
  </w:style>
  <w:style w:type="paragraph" w:styleId="844">
    <w:name w:val="toc 3"/>
    <w:basedOn w:val="672"/>
    <w:next w:val="672"/>
    <w:uiPriority w:val="39"/>
    <w:unhideWhenUsed/>
    <w:pPr>
      <w:ind w:left="567"/>
      <w:spacing w:after="57"/>
    </w:pPr>
  </w:style>
  <w:style w:type="paragraph" w:styleId="845">
    <w:name w:val="toc 4"/>
    <w:basedOn w:val="672"/>
    <w:next w:val="672"/>
    <w:uiPriority w:val="39"/>
    <w:unhideWhenUsed/>
    <w:pPr>
      <w:ind w:left="850"/>
      <w:spacing w:after="57"/>
    </w:pPr>
  </w:style>
  <w:style w:type="paragraph" w:styleId="846">
    <w:name w:val="toc 5"/>
    <w:basedOn w:val="672"/>
    <w:next w:val="672"/>
    <w:uiPriority w:val="39"/>
    <w:unhideWhenUsed/>
    <w:pPr>
      <w:ind w:left="1134"/>
      <w:spacing w:after="57"/>
    </w:pPr>
  </w:style>
  <w:style w:type="paragraph" w:styleId="847">
    <w:name w:val="toc 6"/>
    <w:basedOn w:val="672"/>
    <w:next w:val="672"/>
    <w:uiPriority w:val="39"/>
    <w:unhideWhenUsed/>
    <w:pPr>
      <w:ind w:left="1417"/>
      <w:spacing w:after="57"/>
    </w:pPr>
  </w:style>
  <w:style w:type="paragraph" w:styleId="848">
    <w:name w:val="toc 7"/>
    <w:basedOn w:val="672"/>
    <w:next w:val="672"/>
    <w:uiPriority w:val="39"/>
    <w:unhideWhenUsed/>
    <w:pPr>
      <w:ind w:left="1701"/>
      <w:spacing w:after="57"/>
    </w:pPr>
  </w:style>
  <w:style w:type="paragraph" w:styleId="849">
    <w:name w:val="toc 8"/>
    <w:basedOn w:val="672"/>
    <w:next w:val="672"/>
    <w:uiPriority w:val="39"/>
    <w:unhideWhenUsed/>
    <w:pPr>
      <w:ind w:left="1984"/>
      <w:spacing w:after="57"/>
    </w:pPr>
  </w:style>
  <w:style w:type="paragraph" w:styleId="850">
    <w:name w:val="toc 9"/>
    <w:basedOn w:val="672"/>
    <w:next w:val="672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72"/>
    <w:next w:val="672"/>
    <w:uiPriority w:val="99"/>
    <w:unhideWhenUsed/>
    <w:pPr>
      <w:spacing w:after="0"/>
    </w:pPr>
  </w:style>
  <w:style w:type="table" w:styleId="853">
    <w:name w:val="Table Grid"/>
    <w:basedOn w:val="68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4" w:customStyle="1">
    <w:name w:val="Абзац списка1"/>
    <w:uiPriority w:val="34"/>
    <w:qFormat/>
    <w:pPr>
      <w:contextualSpacing/>
      <w:ind w:left="720"/>
      <w:spacing w:after="200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 w:cs="Calibri"/>
      <w:color w:val="00000a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OVPO</dc:creator>
  <cp:keywords/>
  <dc:description/>
  <cp:lastModifiedBy>Tsybrovaaa</cp:lastModifiedBy>
  <cp:revision>178</cp:revision>
  <dcterms:created xsi:type="dcterms:W3CDTF">2020-06-17T09:43:00Z</dcterms:created>
  <dcterms:modified xsi:type="dcterms:W3CDTF">2025-12-22T09:32:45Z</dcterms:modified>
</cp:coreProperties>
</file>