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29" w:rsidRDefault="003E2029">
      <w:pPr>
        <w:rPr>
          <w:rFonts w:ascii="Times New Roman" w:hAnsi="Times New Roman"/>
          <w:bCs/>
          <w:i/>
          <w:sz w:val="28"/>
          <w:szCs w:val="28"/>
        </w:rPr>
      </w:pPr>
    </w:p>
    <w:p w:rsidR="003E2029" w:rsidRDefault="00C9715E">
      <w:pPr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0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4.55pt;mso-position-horizontal:absolute;mso-position-vertical-relative:text;margin-top:0.00pt;mso-position-vertical:absolute;width:46.20pt;height:54.00pt;mso-wrap-distance-left:9.00pt;mso-wrap-distance-top:0.00pt;mso-wrap-distance-right:9.00pt;mso-wrap-distance-bottom:0.00pt;" wrapcoords="0 0 0 97222 97403 97222 97403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3E2029" w:rsidRDefault="003E2029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3E2029" w:rsidRDefault="003E2029">
      <w:pPr>
        <w:spacing w:after="0" w:line="240" w:lineRule="auto"/>
        <w:jc w:val="center"/>
        <w:rPr>
          <w:rFonts w:ascii="Times New Roman" w:eastAsia="Calibri" w:hAnsi="Times New Roman"/>
          <w:b/>
          <w:sz w:val="10"/>
          <w:szCs w:val="10"/>
          <w:lang w:eastAsia="ru-RU"/>
        </w:rPr>
      </w:pPr>
    </w:p>
    <w:p w:rsidR="003E2029" w:rsidRDefault="003E2029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ru-RU"/>
        </w:rPr>
      </w:pPr>
    </w:p>
    <w:p w:rsidR="003E2029" w:rsidRDefault="00C9715E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/>
          <w:b/>
          <w:sz w:val="32"/>
          <w:szCs w:val="32"/>
          <w:lang w:eastAsia="ru-RU"/>
        </w:rPr>
        <w:t xml:space="preserve">АДМИНИСТРАЦИЯ ГОРОДА НЕФТЕЮГАНСКА                              </w:t>
      </w:r>
    </w:p>
    <w:p w:rsidR="003E2029" w:rsidRDefault="003E2029">
      <w:pPr>
        <w:spacing w:after="0" w:line="240" w:lineRule="auto"/>
        <w:jc w:val="center"/>
        <w:rPr>
          <w:rFonts w:ascii="Times New Roman" w:eastAsia="Calibri" w:hAnsi="Times New Roman"/>
          <w:b/>
          <w:sz w:val="8"/>
          <w:szCs w:val="8"/>
          <w:lang w:eastAsia="ru-RU"/>
        </w:rPr>
      </w:pPr>
    </w:p>
    <w:p w:rsidR="003E2029" w:rsidRDefault="00C9715E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/>
          <w:b/>
          <w:sz w:val="40"/>
          <w:szCs w:val="40"/>
          <w:lang w:eastAsia="ru-RU"/>
        </w:rPr>
        <w:t>ПОСТАНОВЛЕНИЕ</w:t>
      </w:r>
    </w:p>
    <w:p w:rsidR="003E2029" w:rsidRDefault="003E202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E2029" w:rsidRDefault="003E202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E2029" w:rsidRDefault="00C9715E">
      <w:pPr>
        <w:spacing w:after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24.12.2025</w:t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  <w:t xml:space="preserve">        № 168-</w:t>
      </w:r>
      <w:r>
        <w:rPr>
          <w:rFonts w:ascii="Times New Roman" w:hAnsi="Times New Roman"/>
          <w:sz w:val="28"/>
          <w:szCs w:val="28"/>
        </w:rPr>
        <w:t>нп</w:t>
      </w:r>
    </w:p>
    <w:p w:rsidR="003E2029" w:rsidRDefault="00C9715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г.Нефтеюганск</w:t>
      </w:r>
      <w:proofErr w:type="spellEnd"/>
    </w:p>
    <w:p w:rsidR="003E2029" w:rsidRDefault="003E20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E2029" w:rsidRDefault="00C9715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Об утверждении правил предоставления ежегодного дополнительного оплачиваемого отпуска работникам с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ненормированным рабочим днем</w:t>
      </w:r>
    </w:p>
    <w:p w:rsidR="003E2029" w:rsidRDefault="00C9715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учреждениях </w:t>
      </w:r>
      <w:r>
        <w:rPr>
          <w:rFonts w:ascii="Times New Roman" w:hAnsi="Times New Roman" w:cs="Times New Roman"/>
          <w:b/>
          <w:sz w:val="28"/>
          <w:szCs w:val="28"/>
        </w:rPr>
        <w:t>города Нефтеюганска</w:t>
      </w:r>
    </w:p>
    <w:p w:rsidR="003E2029" w:rsidRDefault="003E20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E2029" w:rsidRDefault="00C9715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со статьей 119 Трудового кодекса Российской Федерации, Уставом города Нефтеюганска, в целях обеспечения единообразного подхода               к предоставлению еже</w:t>
      </w:r>
      <w:r>
        <w:rPr>
          <w:rFonts w:ascii="Times New Roman" w:eastAsia="Times New Roman" w:hAnsi="Times New Roman" w:cs="Times New Roman"/>
          <w:sz w:val="28"/>
          <w:szCs w:val="28"/>
        </w:rPr>
        <w:t>годного дополнительного оплачиваемого отпуска работникам с ненормированным рабочим днем в муниципальных учреждениях города Нефтеюганска администрация города Нефтеюганска постановляет:</w:t>
      </w:r>
    </w:p>
    <w:p w:rsidR="003E2029" w:rsidRDefault="00C97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1.Утвердить правила предоставления ежегодного дополнительного оплачивае</w:t>
      </w:r>
      <w:r>
        <w:rPr>
          <w:rFonts w:ascii="Times New Roman" w:eastAsia="Times New Roman" w:hAnsi="Times New Roman" w:cs="Times New Roman"/>
          <w:sz w:val="28"/>
          <w:szCs w:val="28"/>
        </w:rPr>
        <w:t>мого отпуска работникам с ненормированным рабочим днем                            в муниципальных учреждениях города Нефтеюганска согласно приложению                   к постановлению.</w:t>
      </w:r>
    </w:p>
    <w:p w:rsidR="003E2029" w:rsidRDefault="00C97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2.Муниципальным учреждениям города Нефтеюганска в течение одного месяц</w:t>
      </w:r>
      <w:r>
        <w:rPr>
          <w:rFonts w:ascii="Times New Roman" w:eastAsia="Times New Roman" w:hAnsi="Times New Roman" w:cs="Times New Roman"/>
          <w:sz w:val="28"/>
          <w:szCs w:val="28"/>
        </w:rPr>
        <w:t>а со дня вступления в силу настоящего постановления привести в соответствие локальные нормативные правовые акты.</w:t>
      </w:r>
    </w:p>
    <w:p w:rsidR="003E2029" w:rsidRDefault="00C97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Признать утратившим силу постановление администрации города Нефтеюганска от 17.06.2010 № 1553 «Об утверждении порядка и условий предоставлен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ия ежегодного дополнительного оплачиваемого отпуска за ненормированный рабочий день работникам организаций, финансируемых за счёт средств бюджета города Нефтеюганска».</w:t>
      </w:r>
    </w:p>
    <w:p w:rsidR="003E2029" w:rsidRDefault="00C971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bookmarkStart w:id="0" w:name="Par27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Обнародовать (опубликовать) постановление в газете «Здравствуйте,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нефтеюганцы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!».</w:t>
      </w:r>
      <w:r>
        <w:rPr>
          <w:rFonts w:ascii="Times New Roman" w:hAnsi="Times New Roman"/>
          <w:color w:val="000000"/>
          <w:szCs w:val="28"/>
        </w:rPr>
        <w:t xml:space="preserve"> </w:t>
      </w:r>
    </w:p>
    <w:p w:rsidR="003E2029" w:rsidRDefault="00C971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>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3E2029" w:rsidRDefault="00C971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6.Постановление вступает в силу после его официального опубликования.</w:t>
      </w:r>
    </w:p>
    <w:p w:rsidR="003E2029" w:rsidRDefault="003E20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2029" w:rsidRDefault="003E20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029" w:rsidRDefault="00C971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 w:hint="eastAsia"/>
          <w:sz w:val="28"/>
          <w:szCs w:val="28"/>
        </w:rPr>
        <w:t>город</w:t>
      </w:r>
      <w:r>
        <w:rPr>
          <w:rFonts w:ascii="Times New Roman" w:hAnsi="Times New Roman" w:hint="eastAsia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Нефтеюганска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Ю.В.Чекунов</w:t>
      </w:r>
      <w:proofErr w:type="spellEnd"/>
    </w:p>
    <w:p w:rsidR="003E2029" w:rsidRDefault="003E2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2029" w:rsidRDefault="003E2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2029" w:rsidRDefault="003E2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3E2029">
        <w:tc>
          <w:tcPr>
            <w:tcW w:w="4819" w:type="dxa"/>
            <w:shd w:val="clear" w:color="auto" w:fill="auto"/>
          </w:tcPr>
          <w:p w:rsidR="003E2029" w:rsidRDefault="00C9715E">
            <w:pPr>
              <w:pStyle w:val="aff5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Приложение  </w:t>
            </w:r>
          </w:p>
          <w:p w:rsidR="003E2029" w:rsidRDefault="00C9715E">
            <w:pPr>
              <w:pStyle w:val="aff5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постановлению </w:t>
            </w:r>
          </w:p>
          <w:p w:rsidR="003E2029" w:rsidRDefault="00C9715E">
            <w:pPr>
              <w:pStyle w:val="aff5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администрации города </w:t>
            </w:r>
          </w:p>
          <w:p w:rsidR="003E2029" w:rsidRDefault="00C9715E">
            <w:pPr>
              <w:pStyle w:val="aff5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24.12.2025 № 168-нп</w:t>
            </w:r>
          </w:p>
          <w:p w:rsidR="003E2029" w:rsidRDefault="003E2029">
            <w:pPr>
              <w:pStyle w:val="af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3E2029" w:rsidRDefault="00C9715E">
      <w:pPr>
        <w:tabs>
          <w:tab w:val="left" w:pos="417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Правила </w:t>
      </w:r>
    </w:p>
    <w:p w:rsidR="003E2029" w:rsidRDefault="00C9715E">
      <w:pPr>
        <w:tabs>
          <w:tab w:val="left" w:pos="417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предоставления ежегодного дополнительного оплачиваемого отпуска работникам с ненормированным рабочим днем в муниципальных учреждениях города Нефтеюганска</w:t>
      </w:r>
    </w:p>
    <w:p w:rsidR="003E2029" w:rsidRDefault="003E2029">
      <w:pPr>
        <w:tabs>
          <w:tab w:val="left" w:pos="417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3E2029" w:rsidRDefault="00C9715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  <w:t>1.</w:t>
      </w:r>
      <w:r>
        <w:rPr>
          <w:rFonts w:ascii="Times New Roman" w:eastAsia="Calibri" w:hAnsi="Times New Roman"/>
          <w:sz w:val="28"/>
          <w:szCs w:val="28"/>
          <w:lang w:eastAsia="ru-RU"/>
        </w:rPr>
        <w:t>Ежегодный дополнительный оплачиваемый отпуск работникам                        с ненормированным рабочим днем (далее - дополнительный отпуск) предоставляется за работу в условиях ненормированного рабочего дня отдельным работникам муниципальных учреждений г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орода Нефтеюганска (далее соответственно - учреждения, работники). </w:t>
      </w:r>
    </w:p>
    <w:p w:rsidR="003E2029" w:rsidRDefault="00C9715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2.Перечень должностей работников с ненормированным рабочим днем, имеющих право на дополнительный отпуск, устанавливается коллективным договором, правилами внутреннего трудового распорядка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или иным локальным нормативным актом учреждения, принимаемыми с учетом мнения представительного органа работников. </w:t>
      </w:r>
    </w:p>
    <w:p w:rsidR="003E2029" w:rsidRDefault="00C9715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 перечень должностей работников с ненормированным рабочим днем включаются работники, эпизодически привлекаемые по распоряжению работодателя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к выполнению своих трудовых функций за пределами нормальной продолжительности рабочего времени, включая работников, труд которых в течение рабочего дня не поддается точному учету, работников, которые распределяют рабочее время по своему усмотрению, а такж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е работников, рабочее время которых по характеру работы делится на части неопределенной продолжительности. </w:t>
      </w:r>
    </w:p>
    <w:p w:rsidR="003E2029" w:rsidRDefault="00C9715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3.Продолжительность дополнительного отпуска, предоставляемого работникам с ненормированным рабочим днем, не может быть менее                      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   3 календарных дней. </w:t>
      </w:r>
    </w:p>
    <w:p w:rsidR="003E2029" w:rsidRDefault="00C9715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  <w:t>Продолжительность дополнительного отпуска по соответствующим должностям устанавливается коллективным договором, правилами внутреннего трудового распорядка или иным локальным нормативным актом учреждения и зависит от объема ра</w:t>
      </w:r>
      <w:r>
        <w:rPr>
          <w:rFonts w:ascii="Times New Roman" w:eastAsia="Calibri" w:hAnsi="Times New Roman"/>
          <w:sz w:val="28"/>
          <w:szCs w:val="28"/>
          <w:lang w:eastAsia="ru-RU"/>
        </w:rPr>
        <w:t>боты, 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</w:t>
      </w:r>
    </w:p>
    <w:p w:rsidR="003E2029" w:rsidRDefault="00C9715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  <w:t>Работодатель ведет учет времени, фактически отработанного каждым работником в условиях не</w:t>
      </w:r>
      <w:r>
        <w:rPr>
          <w:rFonts w:ascii="Times New Roman" w:eastAsia="Calibri" w:hAnsi="Times New Roman"/>
          <w:sz w:val="28"/>
          <w:szCs w:val="28"/>
          <w:lang w:eastAsia="ru-RU"/>
        </w:rPr>
        <w:t>нормированного рабочего дня.</w:t>
      </w:r>
    </w:p>
    <w:p w:rsidR="003E2029" w:rsidRDefault="00C9715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  <w:t>4.Право на дополнительный отпуск возникает у работника независимо                     от продолжительности работы в условиях ненормированного рабочего дня.</w:t>
      </w:r>
    </w:p>
    <w:p w:rsidR="003E2029" w:rsidRDefault="00C9715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5.Дополнительный отпуск, предоставляемый работникам                 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с ненормированным рабочим днем, суммируется с ежегодным основным </w:t>
      </w: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>оплачиваемым отпуском (в том числе удлиненным), а также другими ежегодными дополнительными оплачиваемыми отпусками.</w:t>
      </w:r>
    </w:p>
    <w:p w:rsidR="003E2029" w:rsidRDefault="00C9715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  <w:t>6.В случае переноса либо неиспользования дополнит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ельного 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 xml:space="preserve">отпуска,   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         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3E2029" w:rsidRDefault="00C9715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  <w:sectPr w:rsidR="003E2029">
          <w:head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  <w:t>7.Оплата дополнительных отпусков, предоставляемых работникам                                   с ненормированным рабочим днем, производитс</w:t>
      </w:r>
      <w:r>
        <w:rPr>
          <w:rFonts w:ascii="Times New Roman" w:eastAsia="Calibri" w:hAnsi="Times New Roman"/>
          <w:sz w:val="28"/>
          <w:szCs w:val="28"/>
          <w:lang w:eastAsia="ru-RU"/>
        </w:rPr>
        <w:t>я в пределах фонда оплаты труда.</w:t>
      </w:r>
    </w:p>
    <w:p w:rsidR="003E2029" w:rsidRDefault="003E2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1" w:name="_GoBack"/>
      <w:bookmarkEnd w:id="1"/>
    </w:p>
    <w:sectPr w:rsidR="003E2029">
      <w:pgSz w:w="11906" w:h="16838"/>
      <w:pgMar w:top="1134" w:right="567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5E" w:rsidRDefault="00C9715E">
      <w:pPr>
        <w:spacing w:after="0" w:line="240" w:lineRule="auto"/>
      </w:pPr>
      <w:r>
        <w:separator/>
      </w:r>
    </w:p>
  </w:endnote>
  <w:endnote w:type="continuationSeparator" w:id="0">
    <w:p w:rsidR="00C9715E" w:rsidRDefault="00C9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5E" w:rsidRDefault="00C9715E">
      <w:pPr>
        <w:spacing w:after="0" w:line="240" w:lineRule="auto"/>
      </w:pPr>
      <w:r>
        <w:separator/>
      </w:r>
    </w:p>
  </w:footnote>
  <w:footnote w:type="continuationSeparator" w:id="0">
    <w:p w:rsidR="00C9715E" w:rsidRDefault="00C9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867699"/>
      <w:docPartObj>
        <w:docPartGallery w:val="Page Numbers (Top of Page)"/>
        <w:docPartUnique/>
      </w:docPartObj>
    </w:sdtPr>
    <w:sdtEndPr/>
    <w:sdtContent>
      <w:p w:rsidR="003E2029" w:rsidRDefault="00C9715E">
        <w:pPr>
          <w:pStyle w:val="af2"/>
          <w:tabs>
            <w:tab w:val="left" w:pos="4560"/>
          </w:tabs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F139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3294"/>
    <w:multiLevelType w:val="hybridMultilevel"/>
    <w:tmpl w:val="48A096C6"/>
    <w:lvl w:ilvl="0" w:tplc="C910DECA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69960DD2">
      <w:start w:val="1"/>
      <w:numFmt w:val="lowerLetter"/>
      <w:lvlText w:val="%2."/>
      <w:lvlJc w:val="left"/>
      <w:pPr>
        <w:ind w:left="1682" w:hanging="360"/>
      </w:pPr>
    </w:lvl>
    <w:lvl w:ilvl="2" w:tplc="AB78B7BA">
      <w:start w:val="1"/>
      <w:numFmt w:val="lowerRoman"/>
      <w:lvlText w:val="%3."/>
      <w:lvlJc w:val="right"/>
      <w:pPr>
        <w:ind w:left="2402" w:hanging="180"/>
      </w:pPr>
    </w:lvl>
    <w:lvl w:ilvl="3" w:tplc="D1A2EE4C">
      <w:start w:val="1"/>
      <w:numFmt w:val="decimal"/>
      <w:lvlText w:val="%4."/>
      <w:lvlJc w:val="left"/>
      <w:pPr>
        <w:ind w:left="3122" w:hanging="360"/>
      </w:pPr>
    </w:lvl>
    <w:lvl w:ilvl="4" w:tplc="8B30447A">
      <w:start w:val="1"/>
      <w:numFmt w:val="lowerLetter"/>
      <w:lvlText w:val="%5."/>
      <w:lvlJc w:val="left"/>
      <w:pPr>
        <w:ind w:left="3842" w:hanging="360"/>
      </w:pPr>
    </w:lvl>
    <w:lvl w:ilvl="5" w:tplc="5A3640EE">
      <w:start w:val="1"/>
      <w:numFmt w:val="lowerRoman"/>
      <w:lvlText w:val="%6."/>
      <w:lvlJc w:val="right"/>
      <w:pPr>
        <w:ind w:left="4562" w:hanging="180"/>
      </w:pPr>
    </w:lvl>
    <w:lvl w:ilvl="6" w:tplc="5C2684F6">
      <w:start w:val="1"/>
      <w:numFmt w:val="decimal"/>
      <w:lvlText w:val="%7."/>
      <w:lvlJc w:val="left"/>
      <w:pPr>
        <w:ind w:left="5282" w:hanging="360"/>
      </w:pPr>
    </w:lvl>
    <w:lvl w:ilvl="7" w:tplc="64E89A0C">
      <w:start w:val="1"/>
      <w:numFmt w:val="lowerLetter"/>
      <w:lvlText w:val="%8."/>
      <w:lvlJc w:val="left"/>
      <w:pPr>
        <w:ind w:left="6002" w:hanging="360"/>
      </w:pPr>
    </w:lvl>
    <w:lvl w:ilvl="8" w:tplc="24ECF528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29EF0167"/>
    <w:multiLevelType w:val="hybridMultilevel"/>
    <w:tmpl w:val="11041660"/>
    <w:lvl w:ilvl="0" w:tplc="B89E2D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AA9656">
      <w:start w:val="1"/>
      <w:numFmt w:val="lowerLetter"/>
      <w:lvlText w:val="%2."/>
      <w:lvlJc w:val="left"/>
      <w:pPr>
        <w:ind w:left="1440" w:hanging="360"/>
      </w:pPr>
    </w:lvl>
    <w:lvl w:ilvl="2" w:tplc="D99A8A90">
      <w:start w:val="1"/>
      <w:numFmt w:val="lowerRoman"/>
      <w:lvlText w:val="%3."/>
      <w:lvlJc w:val="right"/>
      <w:pPr>
        <w:ind w:left="2160" w:hanging="180"/>
      </w:pPr>
    </w:lvl>
    <w:lvl w:ilvl="3" w:tplc="580AD780">
      <w:start w:val="1"/>
      <w:numFmt w:val="decimal"/>
      <w:lvlText w:val="%4."/>
      <w:lvlJc w:val="left"/>
      <w:pPr>
        <w:ind w:left="2880" w:hanging="360"/>
      </w:pPr>
    </w:lvl>
    <w:lvl w:ilvl="4" w:tplc="E81067A0">
      <w:start w:val="1"/>
      <w:numFmt w:val="lowerLetter"/>
      <w:lvlText w:val="%5."/>
      <w:lvlJc w:val="left"/>
      <w:pPr>
        <w:ind w:left="3600" w:hanging="360"/>
      </w:pPr>
    </w:lvl>
    <w:lvl w:ilvl="5" w:tplc="F0E64796">
      <w:start w:val="1"/>
      <w:numFmt w:val="lowerRoman"/>
      <w:lvlText w:val="%6."/>
      <w:lvlJc w:val="right"/>
      <w:pPr>
        <w:ind w:left="4320" w:hanging="180"/>
      </w:pPr>
    </w:lvl>
    <w:lvl w:ilvl="6" w:tplc="B276DA60">
      <w:start w:val="1"/>
      <w:numFmt w:val="decimal"/>
      <w:lvlText w:val="%7."/>
      <w:lvlJc w:val="left"/>
      <w:pPr>
        <w:ind w:left="5040" w:hanging="360"/>
      </w:pPr>
    </w:lvl>
    <w:lvl w:ilvl="7" w:tplc="5156A5AE">
      <w:start w:val="1"/>
      <w:numFmt w:val="lowerLetter"/>
      <w:lvlText w:val="%8."/>
      <w:lvlJc w:val="left"/>
      <w:pPr>
        <w:ind w:left="5760" w:hanging="360"/>
      </w:pPr>
    </w:lvl>
    <w:lvl w:ilvl="8" w:tplc="ACACB7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57ECC"/>
    <w:multiLevelType w:val="hybridMultilevel"/>
    <w:tmpl w:val="6302BAA2"/>
    <w:lvl w:ilvl="0" w:tplc="66C616DC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4EA0A3F8">
      <w:start w:val="1"/>
      <w:numFmt w:val="lowerLetter"/>
      <w:lvlText w:val="%2."/>
      <w:lvlJc w:val="left"/>
      <w:pPr>
        <w:ind w:left="1620" w:hanging="360"/>
      </w:pPr>
    </w:lvl>
    <w:lvl w:ilvl="2" w:tplc="DB1EC800">
      <w:start w:val="1"/>
      <w:numFmt w:val="lowerRoman"/>
      <w:lvlText w:val="%3."/>
      <w:lvlJc w:val="right"/>
      <w:pPr>
        <w:ind w:left="2340" w:hanging="180"/>
      </w:pPr>
    </w:lvl>
    <w:lvl w:ilvl="3" w:tplc="28245F12">
      <w:start w:val="1"/>
      <w:numFmt w:val="decimal"/>
      <w:lvlText w:val="%4."/>
      <w:lvlJc w:val="left"/>
      <w:pPr>
        <w:ind w:left="3060" w:hanging="360"/>
      </w:pPr>
    </w:lvl>
    <w:lvl w:ilvl="4" w:tplc="A5C87BCC">
      <w:start w:val="1"/>
      <w:numFmt w:val="lowerLetter"/>
      <w:lvlText w:val="%5."/>
      <w:lvlJc w:val="left"/>
      <w:pPr>
        <w:ind w:left="3780" w:hanging="360"/>
      </w:pPr>
    </w:lvl>
    <w:lvl w:ilvl="5" w:tplc="D220D158">
      <w:start w:val="1"/>
      <w:numFmt w:val="lowerRoman"/>
      <w:lvlText w:val="%6."/>
      <w:lvlJc w:val="right"/>
      <w:pPr>
        <w:ind w:left="4500" w:hanging="180"/>
      </w:pPr>
    </w:lvl>
    <w:lvl w:ilvl="6" w:tplc="C24443A8">
      <w:start w:val="1"/>
      <w:numFmt w:val="decimal"/>
      <w:lvlText w:val="%7."/>
      <w:lvlJc w:val="left"/>
      <w:pPr>
        <w:ind w:left="5220" w:hanging="360"/>
      </w:pPr>
    </w:lvl>
    <w:lvl w:ilvl="7" w:tplc="D0F87304">
      <w:start w:val="1"/>
      <w:numFmt w:val="lowerLetter"/>
      <w:lvlText w:val="%8."/>
      <w:lvlJc w:val="left"/>
      <w:pPr>
        <w:ind w:left="5940" w:hanging="360"/>
      </w:pPr>
    </w:lvl>
    <w:lvl w:ilvl="8" w:tplc="FD02FCEE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3AC182F"/>
    <w:multiLevelType w:val="hybridMultilevel"/>
    <w:tmpl w:val="D608A6BE"/>
    <w:lvl w:ilvl="0" w:tplc="76528C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7B02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2446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0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AD5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24C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C06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C4D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66B5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1F104D"/>
    <w:multiLevelType w:val="hybridMultilevel"/>
    <w:tmpl w:val="FE0844D0"/>
    <w:lvl w:ilvl="0" w:tplc="474A4A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354F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48D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46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49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2491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666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0D8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E07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29"/>
    <w:rsid w:val="002F1399"/>
    <w:rsid w:val="003E2029"/>
    <w:rsid w:val="00C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7AF2"/>
  <w15:docId w15:val="{F1492297-8A2F-4992-8AFF-E9F92453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styleId="af0">
    <w:name w:val="Strong"/>
    <w:qFormat/>
    <w:rPr>
      <w:b/>
      <w:bCs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Times New Roman" w:hAnsi="Calibri" w:cs="Times New Roman"/>
    </w:rPr>
  </w:style>
  <w:style w:type="character" w:styleId="af4">
    <w:name w:val="page number"/>
    <w:basedOn w:val="a0"/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Times New Roman" w:hAnsi="Calibri" w:cs="Times New Roman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</w:rPr>
  </w:style>
  <w:style w:type="table" w:styleId="af9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c">
    <w:name w:val="Hyperlink"/>
    <w:uiPriority w:val="99"/>
    <w:unhideWhenUsed/>
    <w:rPr>
      <w:color w:val="0563C1"/>
      <w:u w:val="single"/>
    </w:rPr>
  </w:style>
  <w:style w:type="paragraph" w:styleId="afd">
    <w:name w:val="footnote text"/>
    <w:basedOn w:val="a"/>
    <w:link w:val="afe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uiPriority w:val="99"/>
    <w:unhideWhenUsed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FontStyle13">
    <w:name w:val="Font Style13"/>
    <w:rPr>
      <w:rFonts w:ascii="Times New Roman" w:hAnsi="Times New Roman"/>
      <w:sz w:val="1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0">
    <w:name w:val="annotation reference"/>
    <w:uiPriority w:val="99"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Normal (Web)"/>
    <w:basedOn w:val="a"/>
    <w:link w:val="af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6">
    <w:name w:val="Обычный (веб) Знак"/>
    <w:link w:val="af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5A79-1A90-4D49-A3F8-CBB8C9E5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соц экон прогнозов</dc:creator>
  <cp:lastModifiedBy>Татьяна Андреевна Науменко</cp:lastModifiedBy>
  <cp:revision>11</cp:revision>
  <dcterms:created xsi:type="dcterms:W3CDTF">2025-12-01T05:59:00Z</dcterms:created>
  <dcterms:modified xsi:type="dcterms:W3CDTF">2025-12-24T08:43:00Z</dcterms:modified>
</cp:coreProperties>
</file>