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EA" w:rsidRDefault="00A015F7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-156845</wp:posOffset>
            </wp:positionV>
            <wp:extent cx="685800" cy="828040"/>
            <wp:effectExtent l="0" t="0" r="0" b="0"/>
            <wp:wrapTight wrapText="bothSides">
              <wp:wrapPolygon edited="1">
                <wp:start x="0" y="0"/>
                <wp:lineTo x="0" y="20871"/>
                <wp:lineTo x="21000" y="20871"/>
                <wp:lineTo x="21000" y="0"/>
                <wp:lineTo x="0" y="0"/>
              </wp:wrapPolygon>
            </wp:wrapTight>
            <wp:docPr id="1" name="Рисунок 1" descr="Герб%20Нефтеюганск%20small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Нефтеюганск%20small1"/>
                    <pic:cNvPicPr>
                      <a:picLocks noChangeArrowheads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AEA" w:rsidRDefault="00961A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61AEA" w:rsidRDefault="00961A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61AEA" w:rsidRDefault="00A015F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AEA" w:rsidRDefault="00A015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ГОРОДА НЕФТЕЮГАНСКА</w:t>
      </w:r>
    </w:p>
    <w:p w:rsidR="00961AEA" w:rsidRDefault="00A015F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61AEA" w:rsidRDefault="00A01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961AEA" w:rsidRDefault="00A015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961AEA" w:rsidRDefault="00A01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города Нефтеюганска  </w:t>
      </w:r>
    </w:p>
    <w:p w:rsidR="00961AEA" w:rsidRDefault="00A01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города Нефтеюганска </w:t>
      </w:r>
    </w:p>
    <w:p w:rsidR="00961AEA" w:rsidRDefault="00A015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 и плановый период 2026 и 2027 годов»</w:t>
      </w:r>
    </w:p>
    <w:p w:rsidR="00961AEA" w:rsidRDefault="00961A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AEA" w:rsidRDefault="00A01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Принято Думой города</w:t>
      </w:r>
      <w:r>
        <w:rPr>
          <w:rFonts w:ascii="Times New Roman" w:hAnsi="Times New Roman" w:cs="Times New Roman"/>
          <w:sz w:val="28"/>
          <w:szCs w:val="28"/>
        </w:rPr>
        <w:br/>
        <w:t>_____________________</w:t>
      </w:r>
    </w:p>
    <w:p w:rsidR="00961AEA" w:rsidRDefault="00961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20.03.2025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Положением о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устройстве и бюджетном процессе в городе Нефтеюганске, утверждённым решением Думы города Нефтеюганска                от 25.09.2013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633-V, руководствуясь Уставом города Нефтеюганска,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961AEA" w:rsidRDefault="00A01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Внести в решение Думы города Нефтеюганск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 от 23.12.2024 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700-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«О бюджете города Нефтеюганска на 2025 год и плановый период 2026 и                    2027 годов» (в редакции от 25.11.2025 №873-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) следующие изменения: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1.1. Пункт 1 изложить в следующей редакции: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«1.Утвердить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овные характеристики бюджета города Нефтеюганска (далее – бюджет города) на 2025 год: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1)общий объём доходов бюджета города в сумме 14 799 209 384 рубля                06 копеек;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2)общий объём расходов бюджета города в сумме 16 407 175 025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рублей               06 копеек;            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3)дефицит бюджета города в сумме 1 607 965 641 рубль;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4)верхний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 муниципального внутреннего долга города на 1 января 2026 года в объёме 0 рублей, в том числе верхний предел долга по муниципальным гарантиям 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5)объем расходов на обслуживание муниципального внутреннего долга 0 рублей.».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1.2. Пункт 2 изложи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ть в следующей редакции: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«2.Утвердить основные характеристики бюджета города на плановый период 2026 и 2027 годов: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1)общий объём доходов бюджета города на 2026 год в сумме                         12 538 848 200 рублей и на 2027 год 12 471 847 600 рублей;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2)общий объём расходов бюджета города на 2026 год в сумме                              13 823 537 631 рубль и на 2027 год 12 987 942 389 рублей, в том числе условно утвержденные расходы на 2026 год в сумме 180 000 000 рублей и на 2027 год          в сумме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340 000 000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3)дефицит бюджета города на 2026 год в сумме 1 284 689 431 рубль, на       2027 год 516 094 789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4)верхний предел муниципального внутреннего долга на 1 января 2027 года 0 рублей, на 1 января 2028 года 0 рублей, в том числе верхни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предел долга по муниципальным гарантиям города на 2026 год в объёме 0 рублей, на 2027 год 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5)объем расходов на обслуживание муниципального внутреннего долга на 2026 год 0 рублей, на 2027 год 0 рублей.».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1.3.Пункт 9 изложить в следующей редакции: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«9.Утвердить общий объем бюджетных ассигнований на исполнение публичных нормативных обязательств: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1)на 2025 год в сумме 117 747 019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2)на 2026 год в сумме 48 261 400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3)на 2027 год в сумме 28 261 400 рублей.».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1.4.Пункт 10 изложить в новой 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«10. Утвердить в бюджете общий объём межбюджетных трансфертов, получаемых из других бюджетов: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1)на 2025 год 8 270 668 886 рублей 06 копеек;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2)на 2026 год 6 503 658 200 рублей;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3)на 2027 год 6 272 619 900 рублей.».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1.5.Пункт 12 изложить в следующе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й редакции: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«12. Утвердить в составе расходов бюджета города Нефтеюганска бюджетные ассигнования, иным образом зарезервированные, на 2025 год в сумме 20 592 083 рубля, на 2026 год 173 571 735 рублей, на 2027 год           169 520 735 рублей на: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 доли муниципального образования в соответствии с условиями государственных программ Ханты-Мансийского автономного округа-Югры в целях софинансирования мероприятий государственных программ Ханты-Мансийского автономного округа-Югры при предоставлении из бю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джетов бюджетной системы Российской Федерации объёма субсидий сверх утверждённого решением Думы города о бюджете города на 2025 год в сумме 20 592 083 рубля, на 2026 год 20 000 000 рублей, на 2027 год 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реализацию инициативных проектов, предусмотре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нных статьёй 26.1 Федерального закона от 06.10.2003 № 131-ФЗ «Об общих принципах организации местного самоуправления в Российской Федерации», по которым администрацией города принято решение об их поддержке, на 2025 год в сумме 0 рублей, на 2026 год 12 000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000 рублей, на 2027 год 12 000 000 рублей;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обеспечение расходных обязательств, возникающих после ввода в эксплуатацию новых объектов муниципальной собственности в 2025 году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lastRenderedPageBreak/>
        <w:t>сумме 0 рублей, в 2026 году в сумме 141 571 735 рублей, в 2027 году         157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520 735 рублей.».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1.6. Пункт 13 изложить в следующей редакции: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«13.Утвердить объем бюджетных ассигнований дорожного фонда муниципального образования город Нефтеюганск: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1)на 2025 год в сумме 833 380 363 рубля;  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2)на 2026 год в сумме 688 776 346 рублей; 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3)на 2027 год в сумме 501 721 841 рубль.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Установить, что в соответствии с под</w:t>
      </w:r>
      <w:hyperlink r:id="rId8" w:tooltip="consultantplus://offline/ref=16052D54272BCDE38E95F2676CA6BB086E21ABD80E96DE618385A82DB67D15FCDDAE201BDB5EF650425EB899C1EA980EEB1B7D078E7C38D5MCGC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пунктом 9 пункта 2.2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 формирования и использования бюджетных ассигнований муниципального дорожного фонда города Н</w:t>
      </w:r>
      <w:r>
        <w:rPr>
          <w:rFonts w:ascii="Times New Roman" w:hAnsi="Times New Roman" w:cs="Times New Roman"/>
          <w:sz w:val="28"/>
          <w:szCs w:val="28"/>
          <w:highlight w:val="white"/>
        </w:rPr>
        <w:t>ефтеюганска, утвержденного решением Думы               от 27.09.2012 № 371-V «О создании муниципального дорожного фонда города Нефтеюганска» в дорожный фонд города Нефтеюганска подлежат зачислению иные доходы бюджета: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2025 году в сумме 469 962 309 рублей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2026 году в сумме 508 066 256 рублей;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2027 году в сумме 324 072 571 рубль.».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1.7.В подпункте 1 пункта 17 слова «организациям, осуществляющим образовательную деятельность по реализации образовательной программы дошкольного образования,» исключить.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1.8</w:t>
      </w:r>
      <w:r>
        <w:rPr>
          <w:rFonts w:ascii="Times New Roman" w:hAnsi="Times New Roman" w:cs="Times New Roman"/>
          <w:sz w:val="28"/>
          <w:szCs w:val="28"/>
          <w:highlight w:val="white"/>
        </w:rPr>
        <w:t>.Пункт 22 изложить в следующей редакции: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«22.В соответствии с пунктом 8 статьи 217 Бюджетного кодекса Российской Федерации, пунктом 2 статьи 121 решения Думы города Нефтеюганска от 25.09.2013 № 633-V «Об утверждении Положения о бюджетном устройстве и бюдже</w:t>
      </w:r>
      <w:r>
        <w:rPr>
          <w:rFonts w:ascii="Times New Roman" w:hAnsi="Times New Roman" w:cs="Times New Roman"/>
          <w:sz w:val="28"/>
          <w:szCs w:val="28"/>
          <w:highlight w:val="white"/>
        </w:rPr>
        <w:t>тном процессе в городе Нефтеюганске»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1)перераспределени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е бюджетных ассигнований, предусматриваемых за счет субсидий, субвенций, иных межбюджетных трансфертов, предоставленных из бюджетов других уровней по разделам, подразделам, целевым статьям, видам расходов бюджетной классификации расходов внутри главного ра</w:t>
      </w:r>
      <w:r>
        <w:rPr>
          <w:rFonts w:ascii="Times New Roman" w:hAnsi="Times New Roman" w:cs="Times New Roman"/>
          <w:sz w:val="28"/>
          <w:szCs w:val="28"/>
          <w:highlight w:val="white"/>
        </w:rPr>
        <w:t>спорядителя бюджетных средств, а также между главными распорядителями бюджетных средств;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2)перераспределение бюджетных ассигнований за счет средств местного бюджета по разделам, подразделам, целевым статьям, видам расходов бюджетной классификации расходов,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предусмотренных главному распорядителю бюджетных средств, а также между главными распорядителями бюджетных средств в целях выполнения условий софинансирования расходов, предоставляемых из бюджетов других уровней;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3)распределение дотаций, поступивших из бю</w:t>
      </w:r>
      <w:r>
        <w:rPr>
          <w:rFonts w:ascii="Times New Roman" w:hAnsi="Times New Roman" w:cs="Times New Roman"/>
          <w:sz w:val="28"/>
          <w:szCs w:val="28"/>
          <w:highlight w:val="white"/>
        </w:rPr>
        <w:t>джета Ханты-Мансийского автономного округа – Югры на основании правовых актов администрации города Нефтеюганска.».</w:t>
      </w:r>
    </w:p>
    <w:p w:rsidR="00961AEA" w:rsidRDefault="00A01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1.9.Приложение 1 «Распределение доходов бюджета города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Нефтеюганска на 2025 год по показателям классификации доходов» изложить в новой редакц</w:t>
      </w:r>
      <w:r>
        <w:rPr>
          <w:rFonts w:ascii="Times New Roman" w:hAnsi="Times New Roman" w:cs="Times New Roman"/>
          <w:sz w:val="28"/>
          <w:szCs w:val="28"/>
          <w:highlight w:val="white"/>
        </w:rPr>
        <w:t>ии согласно приложению 1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1.10.Приложение 3 «Источники финансирования дефицита бюджета города Нефтеюганска на 2025 год» изложить в новой редакции согласно приложению 2 к настоящему решению.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1.11.Приложение 4 «Источники финансирования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дефицита бюджета города Нефтеюганска на 2026 и 2027 годы» изложить в новой редакции согласно приложению 3 к настоящему решению. 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1.12.Приложение 5 «Распределение бюджетных ассигнований по целевым статьям (муниципальным программам и непрограммным направлени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ям деятельности), группам (группам и подгруппам) видов расходов классификации расходов бюджета города Нефтеюганск на 2025 год» изложить в новой редакции согласно приложению 4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1.13.Приложение 6 «Распределение бюджетных ассигнований по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 Нефтеюганск на плановый период 2026 и 2027 годы» изложить в новой редакции согласно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иложению 5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1.14.Приложение 7 «Распределение бюджетных ассигнований по разделам, подразделам классификации расходов бюджета города Нефтеюганск на 2025 год» изложить в новой редакции согласно приложению 6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1.15.Прил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 8 «Распределение бюджетных ассигнований по разделам, подразделам классификации расходов бюджета города Нефтеюганск на плановый период 2026 и 2027 годов» изложить в новой редакции согласно приложению 7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1.16.Приложение 9 «Распред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 Нефтеюганска на 2025 год» изло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жить в новой редакции согласно приложению 8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1.17.Приложение 10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дгруппам) видов расходов классификации расходов бюджета города Нефтеюганска на плановый период   2026 и 2027 годов» изложить в новой редакции согласно приложению 9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1.18.Приложение 11 «Ведомственная структура расходов бюджета города 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фтеюганск на 2025 год» изложить в новой редакции согласно приложению 10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1.19.Приложение 12 «Ведомственная структура расходов бюджета города Нефтеюганск на плановый период 2026 и 2027 годов» изложить в новой редакции согласно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11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1.20.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13 «Программа муниципальных внутренних заимствований города Нефтеюганска на 2025 год и плановый период 2026 и 2027 годы» изложить в новой редакции согласно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приложению 12 к настоящему решению.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газете «Здравствуйте, нефтеюганцы!» </w:t>
      </w:r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органов местного самоуправления города Нефтеюганска.</w:t>
      </w:r>
    </w:p>
    <w:p w:rsidR="00961AEA" w:rsidRDefault="00A01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3.Решение вступает в силу после его официального опубликования, за исключением пункта 1.8, который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вступает в силу после его офиц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иального опубликования и распространяет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свое действие на правоотношения, возникшие с 01.12.2025.</w:t>
      </w:r>
    </w:p>
    <w:p w:rsidR="00961AEA" w:rsidRDefault="00961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A" w:rsidRDefault="00961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A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Председатель Думы </w:t>
      </w:r>
    </w:p>
    <w:p w:rsidR="00961AEA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1AEA" w:rsidRDefault="00961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A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Ю.В.Чекунов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 А.А.Никитин</w:t>
      </w:r>
    </w:p>
    <w:p w:rsidR="00961AEA" w:rsidRDefault="00961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F7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EA" w:rsidRDefault="00A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 2025 года  </w:t>
      </w:r>
    </w:p>
    <w:p w:rsidR="00961AEA" w:rsidRDefault="00A01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sectPr w:rsidR="00961A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EA" w:rsidRDefault="00A015F7">
      <w:pPr>
        <w:spacing w:after="0" w:line="240" w:lineRule="auto"/>
      </w:pPr>
      <w:r>
        <w:separator/>
      </w:r>
    </w:p>
  </w:endnote>
  <w:endnote w:type="continuationSeparator" w:id="0">
    <w:p w:rsidR="00961AEA" w:rsidRDefault="00A0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EA" w:rsidRDefault="00A015F7">
      <w:pPr>
        <w:spacing w:after="0" w:line="240" w:lineRule="auto"/>
      </w:pPr>
      <w:r>
        <w:separator/>
      </w:r>
    </w:p>
  </w:footnote>
  <w:footnote w:type="continuationSeparator" w:id="0">
    <w:p w:rsidR="00961AEA" w:rsidRDefault="00A0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81594"/>
      <w:docPartObj>
        <w:docPartGallery w:val="Page Numbers (Top of Page)"/>
        <w:docPartUnique/>
      </w:docPartObj>
    </w:sdtPr>
    <w:sdtEndPr/>
    <w:sdtContent>
      <w:p w:rsidR="00961AEA" w:rsidRDefault="00A015F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61AEA" w:rsidRDefault="00961AE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EA"/>
    <w:rsid w:val="00961AEA"/>
    <w:rsid w:val="00A0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756D"/>
  <w15:docId w15:val="{FC574F46-567E-42DC-8874-7C86815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af5">
    <w:name w:val="Всегда"/>
    <w:basedOn w:val="a"/>
    <w:uiPriority w:val="99"/>
    <w:pPr>
      <w:tabs>
        <w:tab w:val="left" w:pos="1701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BodyText21">
    <w:name w:val="Body Text 21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F2676CA6BB086E21ABD80E96DE618385A82DB67D15FCDDAE201BDB5EF650425EB899C1EA980EEB1B7D078E7C38D5MCG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3672-F332-4C1C-8AA7-E072C2EE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625</cp:revision>
  <dcterms:created xsi:type="dcterms:W3CDTF">2019-01-30T05:23:00Z</dcterms:created>
  <dcterms:modified xsi:type="dcterms:W3CDTF">2025-12-17T11:15:00Z</dcterms:modified>
</cp:coreProperties>
</file>