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5D" w:rsidRDefault="002D469B">
      <w:pPr>
        <w:ind w:firstLine="540"/>
        <w:jc w:val="center"/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C9775D" w:rsidRDefault="002D469B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C9775D" w:rsidRDefault="00C9775D">
      <w:pPr>
        <w:ind w:firstLine="540"/>
        <w:jc w:val="both"/>
        <w:rPr>
          <w:i/>
          <w:sz w:val="28"/>
          <w:szCs w:val="28"/>
        </w:rPr>
      </w:pPr>
    </w:p>
    <w:p w:rsidR="00C9775D" w:rsidRDefault="00C9775D">
      <w:pPr>
        <w:ind w:firstLine="540"/>
        <w:jc w:val="both"/>
        <w:rPr>
          <w:i/>
          <w:sz w:val="28"/>
          <w:szCs w:val="28"/>
        </w:rPr>
      </w:pPr>
    </w:p>
    <w:p w:rsidR="00C9775D" w:rsidRDefault="002D469B">
      <w:pPr>
        <w:spacing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АДМИНИСТРАЦИЯ ГОРОДА НЕФТЕЮГАНСКА                              </w:t>
      </w:r>
    </w:p>
    <w:p w:rsidR="00C9775D" w:rsidRDefault="002D469B">
      <w:pPr>
        <w:spacing w:after="12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sz w:val="40"/>
          <w:szCs w:val="40"/>
        </w:rPr>
        <w:t>ПОСТАНОВЛЕНИЕ</w:t>
      </w:r>
    </w:p>
    <w:p w:rsidR="00C9775D" w:rsidRDefault="002D46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>26.12.2025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         № 1360-п</w:t>
      </w:r>
    </w:p>
    <w:p w:rsidR="00C9775D" w:rsidRDefault="002D469B">
      <w:pPr>
        <w:jc w:val="center"/>
        <w:rPr>
          <w:rFonts w:eastAsia="Calibri"/>
        </w:rPr>
      </w:pPr>
      <w:r>
        <w:rPr>
          <w:rFonts w:eastAsia="Calibri"/>
        </w:rPr>
        <w:t>г.Нефтеюганск</w:t>
      </w:r>
    </w:p>
    <w:p w:rsidR="00C9775D" w:rsidRDefault="002D469B"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:rsidR="00C9775D" w:rsidRDefault="002D4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реализации решения Думы города Нефтеюганска </w:t>
      </w:r>
    </w:p>
    <w:p w:rsidR="00C9775D" w:rsidRDefault="002D469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24.12.2025</w:t>
      </w:r>
      <w:r>
        <w:rPr>
          <w:b/>
          <w:sz w:val="28"/>
          <w:szCs w:val="28"/>
        </w:rPr>
        <w:t xml:space="preserve"> № 900-VII «О бюджете города Нефтеюганска на 2026 год </w:t>
      </w:r>
    </w:p>
    <w:p w:rsidR="00C9775D" w:rsidRDefault="002D469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плановый период 2027 и 2028 годов» </w:t>
      </w:r>
    </w:p>
    <w:p w:rsidR="00C9775D" w:rsidRDefault="00C9775D">
      <w:pPr>
        <w:jc w:val="center"/>
        <w:rPr>
          <w:sz w:val="28"/>
          <w:szCs w:val="28"/>
        </w:rPr>
      </w:pPr>
    </w:p>
    <w:p w:rsidR="00C9775D" w:rsidRDefault="002D469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215.1 Бюджетного кодекса Российской Федерации, в целях реализации решения Думы города Нефтеюганска                        от 24.12.2025 </w:t>
      </w:r>
      <w:r>
        <w:rPr>
          <w:sz w:val="28"/>
          <w:szCs w:val="28"/>
        </w:rPr>
        <w:t>№ 900-VII «О бюджете города Нефтеюганска на 2026 год                      и плановый период 2027 и 2028 годов», с учетом положений постановления Правительства Ханты-Мансийского автономного округа – Югры от 28.12.2023 № 670-п «О мерах по обеспечению исполне</w:t>
      </w:r>
      <w:r>
        <w:rPr>
          <w:sz w:val="28"/>
          <w:szCs w:val="28"/>
        </w:rPr>
        <w:t>ния бюджета Ханты-Мансийского автономного округа – Югры», а также в целях активизации работы по мобилизации доходов в бюджет города Нефтеюганска, обеспечения сбалансированности местного бюджета, повышения качества и эффективности управления финансовыми рес</w:t>
      </w:r>
      <w:r>
        <w:rPr>
          <w:sz w:val="28"/>
          <w:szCs w:val="28"/>
        </w:rPr>
        <w:t xml:space="preserve">урсами администрация города Нефтеюганска постановляет: </w:t>
      </w:r>
    </w:p>
    <w:p w:rsidR="00C9775D" w:rsidRDefault="002D469B">
      <w:pPr>
        <w:shd w:val="clear" w:color="auto" w:fill="FFFFFF"/>
        <w:ind w:left="38" w:firstLine="670"/>
        <w:jc w:val="both"/>
        <w:rPr>
          <w:sz w:val="28"/>
          <w:szCs w:val="28"/>
        </w:rPr>
      </w:pPr>
      <w:r>
        <w:rPr>
          <w:sz w:val="28"/>
          <w:szCs w:val="28"/>
        </w:rPr>
        <w:t>1.Принять к исполнению бюджет города Нефтеюганска на 2026 год                 и плановый период 2027 и 2028 годов.</w:t>
      </w:r>
    </w:p>
    <w:p w:rsidR="00C9775D" w:rsidRDefault="002D469B">
      <w:pPr>
        <w:shd w:val="clear" w:color="auto" w:fill="FFFFFF"/>
        <w:ind w:left="38" w:firstLine="6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2.Утвердить план мероприятий по росту доходов, оптимизации расходов бюджета и сокраще</w:t>
      </w:r>
      <w:r>
        <w:rPr>
          <w:sz w:val="28"/>
          <w:szCs w:val="28"/>
        </w:rPr>
        <w:t xml:space="preserve">нию муниципального долга муниципального образования город Нефтеюганск на 2026 год и плановый период 2027 и 2028 годов </w:t>
      </w:r>
      <w:r>
        <w:rPr>
          <w:color w:val="000000"/>
          <w:sz w:val="28"/>
          <w:szCs w:val="28"/>
        </w:rPr>
        <w:t>согласно приложению к постановлению.</w:t>
      </w:r>
    </w:p>
    <w:p w:rsidR="00C9775D" w:rsidRDefault="002D4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3.Департаменту финансов администрации города Нефтеюганска ежеквартально до 20 числа (за год – до 25 числа) месяца, следующего                             за отчетным кварталом, представлять в Департамент финансов Ханты-Мансийского автономного округа – Югры</w:t>
      </w:r>
      <w:r>
        <w:rPr>
          <w:sz w:val="28"/>
          <w:szCs w:val="28"/>
        </w:rPr>
        <w:t xml:space="preserve"> сводную информацию о выполнении плана мероприятий по росту доходов, оптимизации расходов бюджета и сокращению муниципального долга муниципального образования город Нефтеюганск на 2026 год и плановый период 2027 и 2028 годов.</w:t>
      </w:r>
    </w:p>
    <w:p w:rsidR="00C9775D" w:rsidRDefault="002D4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4.Главным администраторам дохо</w:t>
      </w:r>
      <w:r>
        <w:rPr>
          <w:sz w:val="28"/>
          <w:szCs w:val="28"/>
        </w:rPr>
        <w:t>дов, главным распорядителям бюджетных средств города Нефтеюганска ежеквартально до 10 числа (за год – до 12 числа) месяца, следующего за отчетным кварталом, предоставлять                    в департамент финансов администрации города Нефтеюганска информаци</w:t>
      </w:r>
      <w:r>
        <w:rPr>
          <w:sz w:val="28"/>
          <w:szCs w:val="28"/>
        </w:rPr>
        <w:t>ю             о выполнении плана мероприятий по росту доходов, оптимизации расходов бюджета и сокращению муниципального долга муниципального образования город Нефтеюганск на 2026 год и плановый период 2027 и 2028 годов.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5.Главным администраторам доходов бю</w:t>
      </w:r>
      <w:r>
        <w:rPr>
          <w:sz w:val="28"/>
          <w:szCs w:val="28"/>
        </w:rPr>
        <w:t>джета, главным распорядителям бюджетных средств города Нефтеюганска назначить должностных лиц, ответственных за реализацию настоящего постановления. В десятидневный срок после подписания настоящего постановления предоставить информацию                 о на</w:t>
      </w:r>
      <w:r>
        <w:rPr>
          <w:sz w:val="28"/>
          <w:szCs w:val="28"/>
        </w:rPr>
        <w:t>значении должностных лиц, ответственных за реализацию настоящего постановления, в департамент финансов администрации города Нефтеюганска.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6.Установить, что муниципальные заказчики города Нефтеюганска осуществляют оплату по заключенным муниципальным контрак</w:t>
      </w:r>
      <w:r>
        <w:rPr>
          <w:sz w:val="28"/>
          <w:szCs w:val="28"/>
        </w:rPr>
        <w:t xml:space="preserve">там (договорам) о поставке товаров, выполнении работ, оказании услуг и аренде имущества для муниципальных нужд после подтверждения поставки товаров, выполнения (оказания) предусмотренных указанными муниципальными контрактами (договорами) работ (услуг), их </w:t>
      </w:r>
      <w:r>
        <w:rPr>
          <w:sz w:val="28"/>
          <w:szCs w:val="28"/>
        </w:rPr>
        <w:t>этапов, за исключением случаев, при которых авансовые платежи предусмотрены федеральными и региональными правовыми актами, регулирующими порядок и особенности расчетов в отношении отдельных товаров, работ и услуг, правовыми актами администрации города Нефт</w:t>
      </w:r>
      <w:r>
        <w:rPr>
          <w:sz w:val="28"/>
          <w:szCs w:val="28"/>
        </w:rPr>
        <w:t>еюганска, настоящим правовым актом.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7.Установить, что муниципальные заказчики города Нефтеюганска при заключении муниципальных контрактов (договоров) о поставке товаров, выполнении работ, оказании услуг вправе</w:t>
      </w:r>
      <w:r>
        <w:rPr>
          <w:sz w:val="28"/>
          <w:szCs w:val="28"/>
        </w:rPr>
        <w:t xml:space="preserve"> предусматривать авансовые платежи до 100 процентов (включительно) от цены муниципального контракта (договора), но не более доведенных лимитов бюджетных обязательств, подлежащих исполнению за счет средств местного бюджета в соответствующем финансовом году: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а)предоставление</w:t>
      </w:r>
      <w:proofErr w:type="gramEnd"/>
      <w:r>
        <w:rPr>
          <w:sz w:val="28"/>
          <w:szCs w:val="28"/>
        </w:rPr>
        <w:t xml:space="preserve"> услуг почтовой связи;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б)предоставление</w:t>
      </w:r>
      <w:proofErr w:type="gramEnd"/>
      <w:r>
        <w:rPr>
          <w:sz w:val="28"/>
          <w:szCs w:val="28"/>
        </w:rPr>
        <w:t xml:space="preserve"> услуг по различным видам страхования;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в)закупке</w:t>
      </w:r>
      <w:proofErr w:type="gramEnd"/>
      <w:r>
        <w:rPr>
          <w:sz w:val="28"/>
          <w:szCs w:val="28"/>
        </w:rPr>
        <w:t xml:space="preserve"> печатных и электронных изданий (в том числе о подписке             на периодические печатные и электронные издания, об оказании услуг                  </w:t>
      </w:r>
      <w:r>
        <w:rPr>
          <w:sz w:val="28"/>
          <w:szCs w:val="28"/>
        </w:rPr>
        <w:t xml:space="preserve">         по предоставлению доступа к электронным изданиям);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г)предоставление</w:t>
      </w:r>
      <w:proofErr w:type="gramEnd"/>
      <w:r>
        <w:rPr>
          <w:sz w:val="28"/>
          <w:szCs w:val="28"/>
        </w:rPr>
        <w:t xml:space="preserve"> услуг дополнительного профессионального образования, об обучении на курсах повышения квалификации, курсов профессиональной переподготовки, участие в семинарах, конференциях, форум</w:t>
      </w:r>
      <w:r>
        <w:rPr>
          <w:sz w:val="28"/>
          <w:szCs w:val="28"/>
        </w:rPr>
        <w:t>ах, конкурсах;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д)оказание</w:t>
      </w:r>
      <w:proofErr w:type="gramEnd"/>
      <w:r>
        <w:rPr>
          <w:sz w:val="28"/>
          <w:szCs w:val="28"/>
        </w:rPr>
        <w:t xml:space="preserve"> услуг, связанных с направлением в служебную командировку (проезд к месту служебной командировки и обратно, наем жилого помещения, транспортное обслуживание, обеспечение питанием и иные расходы);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е)предоставление</w:t>
      </w:r>
      <w:proofErr w:type="gramEnd"/>
      <w:r>
        <w:rPr>
          <w:sz w:val="28"/>
          <w:szCs w:val="28"/>
        </w:rPr>
        <w:t xml:space="preserve"> нотариальных услуг</w:t>
      </w:r>
      <w:r>
        <w:rPr>
          <w:sz w:val="28"/>
          <w:szCs w:val="28"/>
        </w:rPr>
        <w:t xml:space="preserve"> (оплата нотариального тарифа           за совершение нотариальных действий);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ж)приобретение</w:t>
      </w:r>
      <w:proofErr w:type="gramEnd"/>
      <w:r>
        <w:rPr>
          <w:sz w:val="28"/>
          <w:szCs w:val="28"/>
        </w:rPr>
        <w:t xml:space="preserve"> жилых помещений, в том числе которые будут созданы       в будущем, в муниципальную собственность, в том числе путем участия в долевом строительстве многоквартирно</w:t>
      </w:r>
      <w:r>
        <w:rPr>
          <w:sz w:val="28"/>
          <w:szCs w:val="28"/>
        </w:rPr>
        <w:t>го жилого дома.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8.Установить, что муниципальные заказчики города Нефтеюганска при заключении муниципальных контрактов (договоров) о поставке товаров, выполнении работ, оказании услуг вправе предусматривать авансовые платежи до 30 процентов (включительно) о</w:t>
      </w:r>
      <w:r>
        <w:rPr>
          <w:sz w:val="28"/>
          <w:szCs w:val="28"/>
        </w:rPr>
        <w:t xml:space="preserve">т цены муниципального контракта (договора), </w:t>
      </w:r>
      <w:r>
        <w:rPr>
          <w:sz w:val="28"/>
          <w:szCs w:val="28"/>
        </w:rPr>
        <w:lastRenderedPageBreak/>
        <w:t xml:space="preserve">но не более доведенных лимитов бюджетных обязательств, подлежащих исполнению за счет средств местного бюджета в соответствующем финансовом году от цены муниципального контракта (договора) об оказании услуг связи </w:t>
      </w:r>
      <w:r>
        <w:rPr>
          <w:sz w:val="28"/>
          <w:szCs w:val="28"/>
        </w:rPr>
        <w:t xml:space="preserve">       (за исключением почтовой), услуг по организации спортивно-тренировочных смен в детских лагерях и организации питания в лагерях с дневным пребыванием детей, приобретении путевок в организации отдыха детей и их оздоровления.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9.Установить, что муниципа</w:t>
      </w:r>
      <w:r>
        <w:rPr>
          <w:sz w:val="28"/>
          <w:szCs w:val="28"/>
        </w:rPr>
        <w:t>льные заказчики города Нефтеюганска     осуществляют оплату по муниципальным контрактам (договорам) энергоснабжения, теплоснабжения, газоснабжения, холодного водоснабжения   и водоотведения, оказания услуг по обращению с твердыми коммунальными отходами, ок</w:t>
      </w:r>
      <w:r>
        <w:rPr>
          <w:sz w:val="28"/>
          <w:szCs w:val="28"/>
        </w:rPr>
        <w:t xml:space="preserve">азания услуг по обращению с отходами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классов опасности, проведения государственной экспертизы в рамках экспертного сопровождения (договор об экспертном сопровождении), а также проведения государственной экологической экспертизы в соответствии с норм</w:t>
      </w:r>
      <w:r>
        <w:rPr>
          <w:sz w:val="28"/>
          <w:szCs w:val="28"/>
        </w:rPr>
        <w:t xml:space="preserve">ативными правовыми актами Российской Федерации. 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муниципальных контрактов (договоров) на иных условиях       не допускается.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10.Установить, что бюджетные и автономные учреждения города Нефтеюганска при заключении контрактов (договоров) о поставк</w:t>
      </w:r>
      <w:r>
        <w:rPr>
          <w:sz w:val="28"/>
          <w:szCs w:val="28"/>
        </w:rPr>
        <w:t>е товаров, выполнении работ, оказании услуг, предусматривающих авансовые платежи, соблюдают требования, установленные пунктами 6, 7, 8, 9 настоящего постановления.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11.Заключение и оплата получателями средств бюджета города Нефтеюганска</w:t>
      </w:r>
      <w:r>
        <w:t xml:space="preserve"> </w:t>
      </w:r>
      <w:r>
        <w:rPr>
          <w:sz w:val="28"/>
          <w:szCs w:val="28"/>
        </w:rPr>
        <w:t>муниципальных контра</w:t>
      </w:r>
      <w:r>
        <w:rPr>
          <w:sz w:val="28"/>
          <w:szCs w:val="28"/>
        </w:rPr>
        <w:t>ктов (договоров) и иных обязательств, исполнение которых осуществляется за счет средств бюджета города, в текущем финансовом году осуществляются в пределах, доведенных до них лимитов бюджетных обязательств в соответствии с бюджетной классификацией Российск</w:t>
      </w:r>
      <w:r>
        <w:rPr>
          <w:sz w:val="28"/>
          <w:szCs w:val="28"/>
        </w:rPr>
        <w:t>ой Федерации, с учетом принятых и неисполненных обязательств.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12.Получатели средств бюджета города Нефтеюганска в текущем финансовом году в соответствии с Федеральным законом от 05.04.2013 № 44-ФЗ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контрактной системе в сфере зак</w:t>
      </w:r>
      <w:r>
        <w:rPr>
          <w:sz w:val="28"/>
          <w:szCs w:val="28"/>
        </w:rPr>
        <w:t>упок товаров, работ, услуг для обеспечения государственных и муниципальных нужд» заключают контракты в срок до 1 апреля текущего года в объеме не менее 85 процентов, в срок до 1 июня текущего года 100 процентов от совокупного годового объема закупок текуще</w:t>
      </w:r>
      <w:r>
        <w:rPr>
          <w:sz w:val="28"/>
          <w:szCs w:val="28"/>
        </w:rPr>
        <w:t>го финансового года.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муниципальных закупок администрации города Нефтеюганска обеспечить предоставление в Департамент государственного заказа Ханты-Мансийского автономного округа - Югры информации                         об исполнении абзаца перв</w:t>
      </w:r>
      <w:r>
        <w:rPr>
          <w:sz w:val="28"/>
          <w:szCs w:val="28"/>
        </w:rPr>
        <w:t>ого настоящего пункта по мере необходимости, но не реже одного раза в квартал.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13.Получатели средств бюджета города принимают бюджетные обязательства, связанные с поставкой товаров, выполнением работ, оказанием услуг, не позднее 1 июня текущего финансового</w:t>
      </w:r>
      <w:r>
        <w:rPr>
          <w:sz w:val="28"/>
          <w:szCs w:val="28"/>
        </w:rPr>
        <w:t xml:space="preserve"> года или последнего рабочего дня до указанной даты в соответствии с доведенными до них в установленном </w:t>
      </w:r>
      <w:r>
        <w:rPr>
          <w:sz w:val="28"/>
          <w:szCs w:val="28"/>
        </w:rPr>
        <w:lastRenderedPageBreak/>
        <w:t>порядке до указанной даты на открытые им лицевые счета соответствующими лимитами бюджетных обязательств на текущий финансовый год.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Положения абзаца перв</w:t>
      </w:r>
      <w:r>
        <w:rPr>
          <w:sz w:val="28"/>
          <w:szCs w:val="28"/>
        </w:rPr>
        <w:t>ого пункта 12, абзацев с первого по третий                    пункта 14, абзаца первого настоящего пункта не распространяются на бюджетные обязательства получателей средств бюджета города, связанные                                с поставкой товаров, выпол</w:t>
      </w:r>
      <w:r>
        <w:rPr>
          <w:sz w:val="28"/>
          <w:szCs w:val="28"/>
        </w:rPr>
        <w:t>нением работ и оказанием услуг: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а)в</w:t>
      </w:r>
      <w:proofErr w:type="gramEnd"/>
      <w:r>
        <w:rPr>
          <w:sz w:val="28"/>
          <w:szCs w:val="28"/>
        </w:rPr>
        <w:t xml:space="preserve"> случае если источником финансового обеспечения бюджетных обязательств являются средства резервного фонда администрации города Нефтеюганска, дорожного фонда муниципального образования город Нефтеюганск (за исключением зак</w:t>
      </w:r>
      <w:r>
        <w:rPr>
          <w:sz w:val="28"/>
          <w:szCs w:val="28"/>
        </w:rPr>
        <w:t>упок по строительству, реконструкции и капитальному ремонту объектов капитального строительства (автомобильных дорог), оборудования, предусмотренного проектной документацией и необходимого для обеспечения эксплуатации такого объекта);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б)в</w:t>
      </w:r>
      <w:proofErr w:type="gramEnd"/>
      <w:r>
        <w:rPr>
          <w:sz w:val="28"/>
          <w:szCs w:val="28"/>
        </w:rPr>
        <w:t xml:space="preserve"> случаях, указанны</w:t>
      </w:r>
      <w:r>
        <w:rPr>
          <w:sz w:val="28"/>
          <w:szCs w:val="28"/>
        </w:rPr>
        <w:t>х в пунктах 1, 4, 5, 8, 26,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в)в</w:t>
      </w:r>
      <w:proofErr w:type="gramEnd"/>
      <w:r>
        <w:rPr>
          <w:sz w:val="28"/>
          <w:szCs w:val="28"/>
        </w:rPr>
        <w:t xml:space="preserve"> случае осуществления закупок жилых помещений;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г)в случае если бюджетные обязательства возникают из муниципальных контрактов, заключаемых в текущем финансовом году в связи с расторжением ранее заключенных муниципальных контрактов по соглашению сторон, решению суда или одностороннему отказу стороны мун</w:t>
      </w:r>
      <w:r>
        <w:rPr>
          <w:sz w:val="28"/>
          <w:szCs w:val="28"/>
        </w:rPr>
        <w:t>иципального контракта на поставку товаров, выполнение работ, оказание услуг от его исполнения в соответствии с гражданским законодательством Российской Федерации, в том числе в связи с введением процедур, применяемых в деле о несостоятельности (банкротстве</w:t>
      </w:r>
      <w:r>
        <w:rPr>
          <w:sz w:val="28"/>
          <w:szCs w:val="28"/>
        </w:rPr>
        <w:t>) поставщика (подрядчика, исполнителя);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д)в размере, не превышающем 10 процентов общей суммы не использованных по состоянию на дату, предусмотренную абзацем первым настоящего пункта, доведенных до получателя средств бюджета лимитов бюджетных обязательств н</w:t>
      </w:r>
      <w:r>
        <w:rPr>
          <w:sz w:val="28"/>
          <w:szCs w:val="28"/>
        </w:rPr>
        <w:t>а осуществление закупок товаров, работ, услуг для обеспечения нужд муниципального образования город Нефтеюганск                              (за исключением закупок по строительству, реконструкции и капитальному ремонту объектов капитального строительства,</w:t>
      </w:r>
      <w:r>
        <w:rPr>
          <w:sz w:val="28"/>
          <w:szCs w:val="28"/>
        </w:rPr>
        <w:t xml:space="preserve"> оборудования, предусмотренного проектной документацией и необходимого для обеспечения эксплуатации такого объекта);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е)в</w:t>
      </w:r>
      <w:proofErr w:type="gramEnd"/>
      <w:r>
        <w:rPr>
          <w:sz w:val="28"/>
          <w:szCs w:val="28"/>
        </w:rPr>
        <w:t xml:space="preserve"> целях обеспечения деятельности органов администрации города Нефтеюганска и их подведомственных казенных учреждений;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в случае осуществления закупок на поставку товаров, выполнение работ, оказание услуг, связанных с участием в официальных физкультурных мероприятиях и спортивных мероприятиях, проведение которых в соответствии с правовыми актами Российской Федерации, Хан</w:t>
      </w:r>
      <w:r>
        <w:rPr>
          <w:sz w:val="28"/>
          <w:szCs w:val="28"/>
        </w:rPr>
        <w:t>ты-Мансийского автономного округа – Югры, муниципального образования город Нефтеюганск запланировано после даты, установленной абзацем первым настоящего пункта.</w:t>
      </w:r>
    </w:p>
    <w:p w:rsidR="00C9775D" w:rsidRDefault="00C9775D">
      <w:pPr>
        <w:widowControl w:val="0"/>
        <w:tabs>
          <w:tab w:val="left" w:pos="0"/>
        </w:tabs>
        <w:ind w:firstLine="709"/>
        <w:contextualSpacing/>
        <w:jc w:val="both"/>
        <w:rPr>
          <w:color w:val="0070C0"/>
          <w:sz w:val="28"/>
          <w:szCs w:val="28"/>
        </w:rPr>
      </w:pPr>
    </w:p>
    <w:p w:rsidR="00C9775D" w:rsidRDefault="00C9775D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14.Получатели средств бюджета города Нефтеюганска в текущем финансовом году</w:t>
      </w:r>
      <w:r>
        <w:t xml:space="preserve">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заключают муниципальные контракты (договора) по закупкам, извещения об осуществлении которых размещ</w:t>
      </w:r>
      <w:r>
        <w:rPr>
          <w:sz w:val="28"/>
          <w:szCs w:val="28"/>
        </w:rPr>
        <w:t>аются или в случаях если в соответствии с Федеральным законом от  05.04.2013 № 44-ФЗ «О контрактной системе в сфере закупок товаров, работ, услуг для обеспечения государственных и муниципальных нужд» не предусмотрено размещение извещения об осуществлении з</w:t>
      </w:r>
      <w:r>
        <w:rPr>
          <w:sz w:val="28"/>
          <w:szCs w:val="28"/>
        </w:rPr>
        <w:t>акупки или направление приглашения принять участие в определении поставщика (подрядчика, исполнителя) заключаются муниципальные контракты (договора) в текущем финансовом году, а их исполнение предусматривается в плановом периоде: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а)до</w:t>
      </w:r>
      <w:proofErr w:type="gramEnd"/>
      <w:r>
        <w:rPr>
          <w:sz w:val="28"/>
          <w:szCs w:val="28"/>
        </w:rPr>
        <w:t xml:space="preserve"> окончания III квартал</w:t>
      </w:r>
      <w:r>
        <w:rPr>
          <w:sz w:val="28"/>
          <w:szCs w:val="28"/>
        </w:rPr>
        <w:t>а текущего финансового года в размере не менее 30 процентов от совокупного годового объема закупок первого года планового периода;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б)до</w:t>
      </w:r>
      <w:proofErr w:type="gramEnd"/>
      <w:r>
        <w:rPr>
          <w:sz w:val="28"/>
          <w:szCs w:val="28"/>
        </w:rPr>
        <w:t xml:space="preserve"> окончания текущего финансового года в размере не менее                             60 процентов от совокупного годового </w:t>
      </w:r>
      <w:r>
        <w:rPr>
          <w:sz w:val="28"/>
          <w:szCs w:val="28"/>
        </w:rPr>
        <w:t>объема закупок первого года планового периода;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в)до окончания текущего финансового года в размере 100 процентов                         от годового объема закупок первого года планового периода, предусмотренного на выполнение работ по строительству, реконс</w:t>
      </w:r>
      <w:r>
        <w:rPr>
          <w:sz w:val="28"/>
          <w:szCs w:val="28"/>
        </w:rPr>
        <w:t>трукции и капитальному ремонту объектов капитального строительства (за исключением закупок на поставку оборудования, необходимого для обеспечения эксплуатации объекта капитального строительства, закупок на выполнение работ по ремонту жилых помещений, осуще</w:t>
      </w:r>
      <w:r>
        <w:rPr>
          <w:sz w:val="28"/>
          <w:szCs w:val="28"/>
        </w:rPr>
        <w:t>ствляемому по заявительному принципу, а также закупок на выполнение работ по капитальному ремонту нежилых помещений, на проведение которых бюджетные ассигнования выделены в IV квартале текущего года).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муниципальных закупок администрации города Н</w:t>
      </w:r>
      <w:r>
        <w:rPr>
          <w:sz w:val="28"/>
          <w:szCs w:val="28"/>
        </w:rPr>
        <w:t>ефтеюганска обеспечить предоставление в Департамент государственного заказа Ханты-Мансийского автономного округа - Югры информации об исполнении абзацев с первого по четвертый настоящего пункта по мере необходимости, но не реже одного раза в квартал.</w:t>
      </w:r>
    </w:p>
    <w:p w:rsidR="00C9775D" w:rsidRDefault="002D469B">
      <w:pPr>
        <w:widowControl w:val="0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15.У</w:t>
      </w:r>
      <w:r>
        <w:rPr>
          <w:sz w:val="28"/>
          <w:szCs w:val="28"/>
        </w:rPr>
        <w:t>становить, что бюджетные и автономные учреждения города Нефтеюганска при заключении контрактов (договоров) о поставке товаров, выполнении работ, оказании услуг руководствуются требованиями, установленными пунктами 12-14 настоящего постановления.</w:t>
      </w:r>
    </w:p>
    <w:p w:rsidR="00C9775D" w:rsidRDefault="002D469B">
      <w:pPr>
        <w:widowControl w:val="0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color w:val="0070C0"/>
          <w:sz w:val="28"/>
          <w:szCs w:val="28"/>
        </w:rPr>
        <w:tab/>
      </w:r>
      <w:r>
        <w:rPr>
          <w:sz w:val="28"/>
          <w:szCs w:val="28"/>
        </w:rPr>
        <w:t>16.Операц</w:t>
      </w:r>
      <w:r>
        <w:rPr>
          <w:sz w:val="28"/>
          <w:szCs w:val="28"/>
        </w:rPr>
        <w:t>ии по перечислению средств, отраженных на лицевых счетах, открытых получателям средств из бюджета города Нефтеюганска (юридическим лицам, в том числе некоммерческим организациям, крестьянским (фермерским) хозяйствам, индивидуальным предпринимателям), осуще</w:t>
      </w:r>
      <w:r>
        <w:rPr>
          <w:sz w:val="28"/>
          <w:szCs w:val="28"/>
        </w:rPr>
        <w:t xml:space="preserve">ствляются в пределах суммы, необходимой для оплаты обязательств по расходам получателей средств </w:t>
      </w:r>
      <w:r>
        <w:rPr>
          <w:sz w:val="28"/>
          <w:szCs w:val="28"/>
        </w:rPr>
        <w:lastRenderedPageBreak/>
        <w:t>из бюджета города Нефтеюганска (юридических лиц, в том числе некоммерческих организаций, крестьянских (фермерских) хозяйств, индивидуальных предпринимателей), и</w:t>
      </w:r>
      <w:r>
        <w:rPr>
          <w:sz w:val="28"/>
          <w:szCs w:val="28"/>
        </w:rPr>
        <w:t>сточником финансового обеспечения которых являются указанные средства, при соблюдении условий и порядка          их предоставления.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17.Казначейское сопровождение средств бюджета города Нефтеюганска, определенных пунктами 25, 25.1, 25.2 решения Думы города </w:t>
      </w:r>
      <w:r>
        <w:rPr>
          <w:sz w:val="28"/>
          <w:szCs w:val="28"/>
        </w:rPr>
        <w:t>Нефтеюганска от 24.12.2025 № 900-VII «О бюджете города Нефтеюганска на 2026 год и плановый период 2027 и 2028 годов», осуществляется на лицевых счетах участников казначейского сопровождения, открываемых в департаменте финансов администрации города Нефтеюга</w:t>
      </w:r>
      <w:r>
        <w:rPr>
          <w:sz w:val="28"/>
          <w:szCs w:val="28"/>
        </w:rPr>
        <w:t>нска в установленном им порядке.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18.Главные распорядители бюджетных средств города Нефтеюганска не позднее 30-го рабочего дня со дня поступления получателем средств из бюджета (юридическим лицам, в том числе некоммерческим организациям, крестьянским (ферме</w:t>
      </w:r>
      <w:r>
        <w:rPr>
          <w:sz w:val="28"/>
          <w:szCs w:val="28"/>
        </w:rPr>
        <w:t xml:space="preserve">рским) хозяйствам, индивидуальным предпринимателям) средств                  в качестве возврата дебиторской задолженности прошлых лет, источником финансового обеспечения которых являются субсидии, указанные в пункте 16 настоящего постановления, принимают </w:t>
      </w:r>
      <w:r>
        <w:rPr>
          <w:sz w:val="28"/>
          <w:szCs w:val="28"/>
        </w:rPr>
        <w:t>решения об использовании указанных средств для достижения целей, установленных при их предоставлении.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решений, указанных в абзаце первом настоящего пункта, на 30-й рабочий день со дня поступления сумм возврата дебиторской задолженности прошл</w:t>
      </w:r>
      <w:r>
        <w:rPr>
          <w:sz w:val="28"/>
          <w:szCs w:val="28"/>
        </w:rPr>
        <w:t xml:space="preserve">ых лет средства от возврата дебиторской задолженности подлежат перечислению получателями средств из бюджета (юридическими лицами, в том числе некоммерческими организациями, крестьянскими (фермерскими) хозяйствами индивидуальными предпринимателями) в доход </w:t>
      </w:r>
      <w:r>
        <w:rPr>
          <w:sz w:val="28"/>
          <w:szCs w:val="28"/>
        </w:rPr>
        <w:t xml:space="preserve">бюджета города Нефтеюганска.   </w:t>
      </w:r>
    </w:p>
    <w:p w:rsidR="00C9775D" w:rsidRDefault="002D469B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C9775D" w:rsidRDefault="002D4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>Постановление вступает в силу с 01.01.2026.</w:t>
      </w:r>
    </w:p>
    <w:p w:rsidR="00C9775D" w:rsidRDefault="00C9775D">
      <w:pPr>
        <w:jc w:val="both"/>
        <w:rPr>
          <w:sz w:val="28"/>
          <w:szCs w:val="28"/>
        </w:rPr>
      </w:pPr>
    </w:p>
    <w:p w:rsidR="00C9775D" w:rsidRDefault="00C9775D">
      <w:pPr>
        <w:jc w:val="both"/>
        <w:rPr>
          <w:sz w:val="28"/>
          <w:szCs w:val="28"/>
        </w:rPr>
      </w:pPr>
    </w:p>
    <w:p w:rsidR="00C9775D" w:rsidRDefault="002D4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                                                                                    </w:t>
      </w:r>
      <w:proofErr w:type="spellStart"/>
      <w:r>
        <w:rPr>
          <w:sz w:val="28"/>
          <w:szCs w:val="28"/>
        </w:rPr>
        <w:t>Ю.В.Чекунов</w:t>
      </w:r>
      <w:proofErr w:type="spellEnd"/>
      <w:r>
        <w:rPr>
          <w:sz w:val="28"/>
          <w:szCs w:val="28"/>
        </w:rPr>
        <w:t xml:space="preserve">  </w:t>
      </w:r>
    </w:p>
    <w:p w:rsidR="00C9775D" w:rsidRDefault="00C9775D">
      <w:pPr>
        <w:rPr>
          <w:sz w:val="28"/>
          <w:szCs w:val="28"/>
        </w:rPr>
        <w:sectPr w:rsidR="00C9775D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9775D" w:rsidRDefault="002D469B">
      <w:pPr>
        <w:tabs>
          <w:tab w:val="left" w:pos="6521"/>
        </w:tabs>
        <w:ind w:left="11907" w:right="-5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C9775D" w:rsidRDefault="002D469B">
      <w:pPr>
        <w:tabs>
          <w:tab w:val="left" w:pos="5812"/>
          <w:tab w:val="left" w:pos="6663"/>
        </w:tabs>
        <w:ind w:left="11907" w:right="-5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C9775D" w:rsidRDefault="002D469B">
      <w:pPr>
        <w:tabs>
          <w:tab w:val="left" w:pos="5812"/>
          <w:tab w:val="left" w:pos="6663"/>
        </w:tabs>
        <w:ind w:left="11907" w:right="-598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9775D" w:rsidRDefault="002D469B">
      <w:pPr>
        <w:tabs>
          <w:tab w:val="left" w:pos="10913"/>
          <w:tab w:val="right" w:pos="15168"/>
        </w:tabs>
        <w:ind w:left="9780" w:right="-598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от 26.12.2025 № 1360-п</w:t>
      </w:r>
    </w:p>
    <w:p w:rsidR="00C9775D" w:rsidRDefault="00C9775D">
      <w:pPr>
        <w:jc w:val="center"/>
        <w:rPr>
          <w:sz w:val="28"/>
          <w:szCs w:val="20"/>
        </w:rPr>
      </w:pPr>
    </w:p>
    <w:p w:rsidR="00C9775D" w:rsidRDefault="002D469B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План мероприятий </w:t>
      </w:r>
    </w:p>
    <w:p w:rsidR="00C9775D" w:rsidRDefault="002D469B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по росту доходов, оптимизации расходов бюджета </w:t>
      </w:r>
      <w:r>
        <w:rPr>
          <w:sz w:val="28"/>
          <w:szCs w:val="28"/>
        </w:rPr>
        <w:t xml:space="preserve">и сокращению муниципального долга </w:t>
      </w:r>
      <w:r>
        <w:rPr>
          <w:sz w:val="28"/>
          <w:szCs w:val="20"/>
        </w:rPr>
        <w:t>муниципального образования город Нефтеюганск на 2026 год и плановый период 2027 и 202</w:t>
      </w:r>
      <w:r>
        <w:rPr>
          <w:sz w:val="28"/>
          <w:szCs w:val="20"/>
        </w:rPr>
        <w:t>8 годов</w:t>
      </w:r>
    </w:p>
    <w:p w:rsidR="00C9775D" w:rsidRDefault="00C9775D">
      <w:pPr>
        <w:jc w:val="center"/>
        <w:rPr>
          <w:sz w:val="28"/>
          <w:szCs w:val="20"/>
        </w:rPr>
      </w:pP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80"/>
        <w:gridCol w:w="1531"/>
        <w:gridCol w:w="1275"/>
        <w:gridCol w:w="3289"/>
        <w:gridCol w:w="1560"/>
        <w:gridCol w:w="709"/>
        <w:gridCol w:w="708"/>
        <w:gridCol w:w="709"/>
        <w:gridCol w:w="851"/>
        <w:gridCol w:w="850"/>
        <w:gridCol w:w="851"/>
      </w:tblGrid>
      <w:tr w:rsidR="00C9775D">
        <w:trPr>
          <w:trHeight w:val="10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</w:p>
          <w:p w:rsidR="00C9775D" w:rsidRDefault="002D469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>
              <w:rPr>
                <w:color w:val="000000"/>
                <w:sz w:val="19"/>
                <w:szCs w:val="19"/>
                <w:lang w:val="en-US"/>
              </w:rPr>
              <w:t>/</w:t>
            </w:r>
            <w:r>
              <w:rPr>
                <w:color w:val="000000"/>
                <w:sz w:val="19"/>
                <w:szCs w:val="19"/>
              </w:rPr>
              <w:t>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Срок исполнения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ind w:left="171" w:hanging="17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Проект нормативного правового акта или иной документ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Значение результата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Плановое значение результата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Ожидаемый эффект </w:t>
            </w:r>
          </w:p>
          <w:p w:rsidR="00C9775D" w:rsidRDefault="002D46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(тыс. рублей)</w:t>
            </w:r>
          </w:p>
        </w:tc>
      </w:tr>
      <w:tr w:rsidR="00C9775D">
        <w:trPr>
          <w:trHeight w:val="58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C9775D">
        <w:trPr>
          <w:trHeight w:val="27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C9775D">
        <w:trPr>
          <w:trHeight w:val="307"/>
        </w:trPr>
        <w:tc>
          <w:tcPr>
            <w:tcW w:w="15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75D" w:rsidRDefault="002D469B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 Мероприятия по росту доходов бюджета муниципального образования</w:t>
            </w:r>
          </w:p>
        </w:tc>
      </w:tr>
      <w:tr w:rsidR="00C9775D">
        <w:trPr>
          <w:trHeight w:val="704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Проведение конкурсных процедур в отношении земельных участков, находящихся в муниципальной собственности, а также государственная собственность на которые не разграничена, и распоряжение которыми в соответствии с законодательством Российской Федерации осущ</w:t>
            </w:r>
            <w:r>
              <w:rPr>
                <w:color w:val="000000"/>
                <w:sz w:val="18"/>
                <w:szCs w:val="18"/>
                <w:highlight w:val="white"/>
              </w:rPr>
              <w:t>ествляется органами местного самоуправления, информация о которых опубликована на официальном сайте органов местного самоуправления города Нефтеюганска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31.12.2028  </w:t>
            </w: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Сводный план-график проведения аукционов по продаже и (или) предназначенных для реализации инвестиционных проектов в муниципальном образовании город Нефтеюганск на 2026 год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Заключенный договор о предоставлении земельного участка, шт.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C9775D">
        <w:trPr>
          <w:trHeight w:val="7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775D">
        <w:trPr>
          <w:trHeight w:val="4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дебиторской                                                   задолженности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Дума города Нефтеюганска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31.12.2026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«О бюджете города Нефтеюганска на 2026 год и плановый период 2027 и 2028 годов»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Прирост доходов к первоначально утвержденной сумме неналоговых доходов бюджета,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0,1</w:t>
            </w:r>
          </w:p>
          <w:p w:rsidR="00C9775D" w:rsidRDefault="00C9775D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sz w:val="18"/>
                <w:szCs w:val="18"/>
              </w:rPr>
            </w:pPr>
          </w:p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</w:tr>
      <w:tr w:rsidR="00C9775D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Департамент муниципального имущества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823,0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</w:tr>
      <w:tr w:rsidR="00C9775D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Счетна</w:t>
            </w:r>
            <w:r>
              <w:rPr>
                <w:sz w:val="18"/>
                <w:szCs w:val="18"/>
                <w:highlight w:val="white"/>
              </w:rPr>
              <w:t>я палата города Нефтеюганска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775D">
        <w:trPr>
          <w:trHeight w:val="12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Департамент градостроительства и земельных отношений администрации города</w:t>
            </w:r>
          </w:p>
          <w:p w:rsidR="00C9775D" w:rsidRDefault="00C9775D">
            <w:pPr>
              <w:rPr>
                <w:sz w:val="18"/>
                <w:szCs w:val="18"/>
                <w:highlight w:val="white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tabs>
                <w:tab w:val="center" w:pos="317"/>
              </w:tabs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775D">
        <w:trPr>
          <w:trHeight w:val="1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Заключение новых договоров о предоставлении земельных участков в аренду, в отношении земельных участков, находящихся в муниципальной собственности, а также государственная собственность на которые не разграничена, и распоряжение которыми в</w:t>
            </w:r>
            <w:r>
              <w:rPr>
                <w:color w:val="000000"/>
                <w:sz w:val="18"/>
                <w:szCs w:val="18"/>
              </w:rPr>
              <w:t xml:space="preserve"> соответствии с законодательством Российской Федерации осуществляется органами местного самоуправления, </w:t>
            </w:r>
            <w:r>
              <w:rPr>
                <w:color w:val="000000"/>
                <w:sz w:val="18"/>
                <w:szCs w:val="18"/>
              </w:rPr>
              <w:lastRenderedPageBreak/>
              <w:t>информация о которых опубликована на официальном сайте органов местного самоуправления города Нефтеюганска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градостроительства и земельных от</w:t>
            </w:r>
            <w:r>
              <w:rPr>
                <w:sz w:val="18"/>
                <w:szCs w:val="18"/>
              </w:rPr>
              <w:t>ношений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31.12.2028  </w:t>
            </w: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кодекс РФ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Заключенный договор о предоставлении земельного участка в аренду, шт.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9775D">
        <w:trPr>
          <w:trHeight w:val="1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5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Проведение работы с налогоплательщиками и работодателями в рамках деятельности комиссии по мобилизации дополнительных доходов в бюджет города Нефтеюганска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Департамент финансов администрации города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31.12.2028  </w:t>
            </w: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Протоколы</w:t>
            </w:r>
            <w:r>
              <w:rPr>
                <w:sz w:val="18"/>
                <w:szCs w:val="18"/>
              </w:rPr>
              <w:t xml:space="preserve"> заседаний комиссии по мобилизации дополнительных доходов в бюджет города Нефтеюганска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заседаний комиссии по мобилизации дополнительных доходов в бюджет города Нефтеюганска,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9775D">
        <w:trPr>
          <w:trHeight w:val="276"/>
        </w:trPr>
        <w:tc>
          <w:tcPr>
            <w:tcW w:w="15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2D469B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      Мероприятия по оптимизации расходов бюджета муниципального образования</w:t>
            </w:r>
          </w:p>
          <w:p w:rsidR="00C9775D" w:rsidRDefault="00C9775D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C9775D">
        <w:trPr>
          <w:trHeight w:val="3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Осуществлять перераспределение бюджетных ассигнований и лимитов бюджетных обязательств на сумму экономии, сложившейся по результатам конкурсных закупок товаров, работ, услуг в части средств местного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 делам администрации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31.1</w:t>
            </w:r>
            <w:r>
              <w:rPr>
                <w:color w:val="000000"/>
                <w:sz w:val="18"/>
                <w:szCs w:val="18"/>
              </w:rPr>
              <w:t xml:space="preserve">2.2026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31.12.2028  </w:t>
            </w: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2026 год и плановый период 2027  и  2028 годов»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бюджетных ассигнований и лимитов бюджетных обязательств на сумму экономии, сложившейся по результатам конкурсных закупок товаров, работ, услуг в части средств местного бюджета в общем объеме расходов за счет </w:t>
            </w:r>
            <w:r>
              <w:rPr>
                <w:sz w:val="18"/>
                <w:szCs w:val="18"/>
              </w:rPr>
              <w:lastRenderedPageBreak/>
              <w:t>средств местного бюджета, %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lastRenderedPageBreak/>
              <w:t>не менее</w:t>
            </w:r>
          </w:p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не</w:t>
            </w:r>
            <w:r>
              <w:rPr>
                <w:sz w:val="18"/>
                <w:szCs w:val="18"/>
                <w:highlight w:val="white"/>
              </w:rPr>
              <w:t xml:space="preserve"> менее</w:t>
            </w:r>
          </w:p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1,0</w:t>
            </w:r>
          </w:p>
          <w:p w:rsidR="00C9775D" w:rsidRDefault="00C9775D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не менее</w:t>
            </w:r>
          </w:p>
          <w:p w:rsidR="00C9775D" w:rsidRDefault="002D469B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1,0</w:t>
            </w:r>
          </w:p>
          <w:p w:rsidR="00C9775D" w:rsidRDefault="00C9775D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tabs>
                <w:tab w:val="center" w:pos="3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</w:tr>
      <w:tr w:rsidR="00C9775D">
        <w:trPr>
          <w:trHeight w:val="6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C9775D">
        <w:trPr>
          <w:trHeight w:val="6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муниципального имущества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348,7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342,5</w:t>
            </w:r>
          </w:p>
        </w:tc>
      </w:tr>
      <w:tr w:rsidR="00C9775D">
        <w:trPr>
          <w:trHeight w:val="6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образования </w:t>
            </w:r>
            <w:r>
              <w:rPr>
                <w:sz w:val="18"/>
                <w:szCs w:val="18"/>
              </w:rPr>
              <w:lastRenderedPageBreak/>
              <w:t>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</w:tr>
      <w:tr w:rsidR="00C9775D">
        <w:trPr>
          <w:trHeight w:val="6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культуры и туризма администрации </w:t>
            </w:r>
          </w:p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C9775D">
        <w:trPr>
          <w:trHeight w:val="6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физической культуры и спорта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</w:tr>
      <w:tr w:rsidR="00C9775D">
        <w:trPr>
          <w:trHeight w:val="2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2 508,9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1 067,1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640,8</w:t>
            </w:r>
          </w:p>
        </w:tc>
      </w:tr>
      <w:tr w:rsidR="00C9775D">
        <w:trPr>
          <w:trHeight w:val="3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80 000,0</w:t>
            </w:r>
          </w:p>
        </w:tc>
      </w:tr>
      <w:tr w:rsidR="00C9775D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Расширить перечень и объёмы платных услуг, оказываемых бюджетными и автономными </w:t>
            </w:r>
            <w:r>
              <w:rPr>
                <w:sz w:val="18"/>
                <w:szCs w:val="18"/>
              </w:rPr>
              <w:t xml:space="preserve">учреждениями в соответствии с их Уставами, а также </w:t>
            </w:r>
            <w:r>
              <w:rPr>
                <w:sz w:val="18"/>
                <w:szCs w:val="18"/>
              </w:rPr>
              <w:lastRenderedPageBreak/>
              <w:t>пересмотреть действующий порядок определения платы за оказание услуг (выполнение работ),</w:t>
            </w:r>
          </w:p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определением эффективного уровня рентабельности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Комитет культуры и туризма администрации </w:t>
            </w:r>
          </w:p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31.12.2027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31.12.2028  </w:t>
            </w:r>
          </w:p>
          <w:p w:rsidR="00C9775D" w:rsidRDefault="00C97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Внесение изменений в приказы учреждений на установление тарифов на оказание платных услуг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объёма платных услуг,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</w:tr>
      <w:tr w:rsidR="00C9775D">
        <w:trPr>
          <w:trHeight w:val="15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физической культуры и спорта администрации </w:t>
            </w:r>
            <w:r>
              <w:rPr>
                <w:sz w:val="18"/>
                <w:szCs w:val="18"/>
              </w:rPr>
              <w:t>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465,0</w:t>
            </w:r>
          </w:p>
        </w:tc>
      </w:tr>
      <w:tr w:rsidR="00C9775D">
        <w:trPr>
          <w:trHeight w:val="296"/>
        </w:trPr>
        <w:tc>
          <w:tcPr>
            <w:tcW w:w="92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  Мероприятия по сокращению муниципального долга муниципального образования</w:t>
            </w:r>
          </w:p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</w:tr>
      <w:tr w:rsidR="00C9775D">
        <w:trPr>
          <w:trHeight w:val="92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Установление значения показателя соотношения муниципального долга к доходам бюджета города без учета безвозмездных поступлений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до 31.12.2028  </w:t>
            </w:r>
          </w:p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  </w:t>
            </w:r>
          </w:p>
          <w:p w:rsidR="00C9775D" w:rsidRDefault="00C9775D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</w:t>
            </w:r>
            <w:r>
              <w:rPr>
                <w:color w:val="000000"/>
                <w:sz w:val="18"/>
                <w:szCs w:val="18"/>
              </w:rPr>
              <w:t>О бюджете города Нефтеюганска на 2026 год и плановый период 2027  и  2028 годов»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муниципального долга к доходам бюджета города без учета безвозмездных поступлений, %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10,0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10,0</w:t>
            </w:r>
          </w:p>
        </w:tc>
      </w:tr>
      <w:tr w:rsidR="00C9775D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75D" w:rsidRDefault="002D46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Установить предельный годовой объем расходов на обслуживание муниципального долга не более 5% 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5D" w:rsidRDefault="002D469B">
            <w:pPr>
              <w:ind w:left="-108" w:right="-108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до 31.12.20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28  </w:t>
            </w:r>
          </w:p>
          <w:p w:rsidR="00C9775D" w:rsidRDefault="00C9775D">
            <w:pPr>
              <w:ind w:left="-108" w:right="-108"/>
              <w:jc w:val="center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2026 год и плановый период 2027  и  2028 годов»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расходов на обслуживание муниципал</w:t>
            </w:r>
            <w:r>
              <w:rPr>
                <w:sz w:val="18"/>
                <w:szCs w:val="18"/>
              </w:rPr>
              <w:t>ьного долга к общему объему расходов бюджета города без учета расходов, осуществляемых за счет субвенций, %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5,0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C97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75D" w:rsidRDefault="002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5,0</w:t>
            </w:r>
          </w:p>
        </w:tc>
      </w:tr>
    </w:tbl>
    <w:p w:rsidR="00C9775D" w:rsidRDefault="00C9775D">
      <w:pPr>
        <w:rPr>
          <w:sz w:val="28"/>
          <w:szCs w:val="28"/>
        </w:rPr>
        <w:sectPr w:rsidR="00C9775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9775D" w:rsidRDefault="00C9775D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C977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9B" w:rsidRDefault="002D469B">
      <w:r>
        <w:separator/>
      </w:r>
    </w:p>
  </w:endnote>
  <w:endnote w:type="continuationSeparator" w:id="0">
    <w:p w:rsidR="002D469B" w:rsidRDefault="002D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5D" w:rsidRDefault="00C9775D">
    <w:pPr>
      <w:pStyle w:val="af5"/>
      <w:jc w:val="center"/>
    </w:pPr>
  </w:p>
  <w:p w:rsidR="00C9775D" w:rsidRDefault="00C9775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9B" w:rsidRDefault="002D469B">
      <w:r>
        <w:separator/>
      </w:r>
    </w:p>
  </w:footnote>
  <w:footnote w:type="continuationSeparator" w:id="0">
    <w:p w:rsidR="002D469B" w:rsidRDefault="002D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964641"/>
      <w:docPartObj>
        <w:docPartGallery w:val="Page Numbers (Top of Page)"/>
        <w:docPartUnique/>
      </w:docPartObj>
    </w:sdtPr>
    <w:sdtEndPr/>
    <w:sdtContent>
      <w:p w:rsidR="00C9775D" w:rsidRDefault="002D469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F79">
          <w:rPr>
            <w:noProof/>
          </w:rPr>
          <w:t>10</w:t>
        </w:r>
        <w:r>
          <w:fldChar w:fldCharType="end"/>
        </w:r>
      </w:p>
    </w:sdtContent>
  </w:sdt>
  <w:p w:rsidR="00C9775D" w:rsidRDefault="00C9775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753"/>
    <w:multiLevelType w:val="hybridMultilevel"/>
    <w:tmpl w:val="68A4B480"/>
    <w:lvl w:ilvl="0" w:tplc="2B2EF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E53B4">
      <w:start w:val="1"/>
      <w:numFmt w:val="lowerLetter"/>
      <w:lvlText w:val="%2."/>
      <w:lvlJc w:val="left"/>
      <w:pPr>
        <w:ind w:left="1440" w:hanging="360"/>
      </w:pPr>
    </w:lvl>
    <w:lvl w:ilvl="2" w:tplc="98A8F4BC">
      <w:start w:val="1"/>
      <w:numFmt w:val="lowerRoman"/>
      <w:lvlText w:val="%3."/>
      <w:lvlJc w:val="right"/>
      <w:pPr>
        <w:ind w:left="2160" w:hanging="180"/>
      </w:pPr>
    </w:lvl>
    <w:lvl w:ilvl="3" w:tplc="5E124DF4">
      <w:start w:val="1"/>
      <w:numFmt w:val="decimal"/>
      <w:lvlText w:val="%4."/>
      <w:lvlJc w:val="left"/>
      <w:pPr>
        <w:ind w:left="2880" w:hanging="360"/>
      </w:pPr>
    </w:lvl>
    <w:lvl w:ilvl="4" w:tplc="FE98DB6E">
      <w:start w:val="1"/>
      <w:numFmt w:val="lowerLetter"/>
      <w:lvlText w:val="%5."/>
      <w:lvlJc w:val="left"/>
      <w:pPr>
        <w:ind w:left="3600" w:hanging="360"/>
      </w:pPr>
    </w:lvl>
    <w:lvl w:ilvl="5" w:tplc="AF0CE2F2">
      <w:start w:val="1"/>
      <w:numFmt w:val="lowerRoman"/>
      <w:lvlText w:val="%6."/>
      <w:lvlJc w:val="right"/>
      <w:pPr>
        <w:ind w:left="4320" w:hanging="180"/>
      </w:pPr>
    </w:lvl>
    <w:lvl w:ilvl="6" w:tplc="1EB6B466">
      <w:start w:val="1"/>
      <w:numFmt w:val="decimal"/>
      <w:lvlText w:val="%7."/>
      <w:lvlJc w:val="left"/>
      <w:pPr>
        <w:ind w:left="5040" w:hanging="360"/>
      </w:pPr>
    </w:lvl>
    <w:lvl w:ilvl="7" w:tplc="20223AE4">
      <w:start w:val="1"/>
      <w:numFmt w:val="lowerLetter"/>
      <w:lvlText w:val="%8."/>
      <w:lvlJc w:val="left"/>
      <w:pPr>
        <w:ind w:left="5760" w:hanging="360"/>
      </w:pPr>
    </w:lvl>
    <w:lvl w:ilvl="8" w:tplc="A2DE86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79B6"/>
    <w:multiLevelType w:val="hybridMultilevel"/>
    <w:tmpl w:val="08B8C2BC"/>
    <w:lvl w:ilvl="0" w:tplc="37ECB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C1E2">
      <w:start w:val="1"/>
      <w:numFmt w:val="lowerLetter"/>
      <w:lvlText w:val="%2."/>
      <w:lvlJc w:val="left"/>
      <w:pPr>
        <w:ind w:left="1789" w:hanging="360"/>
      </w:pPr>
    </w:lvl>
    <w:lvl w:ilvl="2" w:tplc="7C3EB886">
      <w:start w:val="1"/>
      <w:numFmt w:val="lowerRoman"/>
      <w:lvlText w:val="%3."/>
      <w:lvlJc w:val="right"/>
      <w:pPr>
        <w:ind w:left="2509" w:hanging="180"/>
      </w:pPr>
    </w:lvl>
    <w:lvl w:ilvl="3" w:tplc="9ADC5CEE">
      <w:start w:val="1"/>
      <w:numFmt w:val="decimal"/>
      <w:lvlText w:val="%4."/>
      <w:lvlJc w:val="left"/>
      <w:pPr>
        <w:ind w:left="3229" w:hanging="360"/>
      </w:pPr>
    </w:lvl>
    <w:lvl w:ilvl="4" w:tplc="784439E4">
      <w:start w:val="1"/>
      <w:numFmt w:val="lowerLetter"/>
      <w:lvlText w:val="%5."/>
      <w:lvlJc w:val="left"/>
      <w:pPr>
        <w:ind w:left="3949" w:hanging="360"/>
      </w:pPr>
    </w:lvl>
    <w:lvl w:ilvl="5" w:tplc="4AEEE676">
      <w:start w:val="1"/>
      <w:numFmt w:val="lowerRoman"/>
      <w:lvlText w:val="%6."/>
      <w:lvlJc w:val="right"/>
      <w:pPr>
        <w:ind w:left="4669" w:hanging="180"/>
      </w:pPr>
    </w:lvl>
    <w:lvl w:ilvl="6" w:tplc="C1D482C6">
      <w:start w:val="1"/>
      <w:numFmt w:val="decimal"/>
      <w:lvlText w:val="%7."/>
      <w:lvlJc w:val="left"/>
      <w:pPr>
        <w:ind w:left="5389" w:hanging="360"/>
      </w:pPr>
    </w:lvl>
    <w:lvl w:ilvl="7" w:tplc="73AADEAE">
      <w:start w:val="1"/>
      <w:numFmt w:val="lowerLetter"/>
      <w:lvlText w:val="%8."/>
      <w:lvlJc w:val="left"/>
      <w:pPr>
        <w:ind w:left="6109" w:hanging="360"/>
      </w:pPr>
    </w:lvl>
    <w:lvl w:ilvl="8" w:tplc="5BB24BB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82157"/>
    <w:multiLevelType w:val="hybridMultilevel"/>
    <w:tmpl w:val="650ABBB4"/>
    <w:lvl w:ilvl="0" w:tplc="67BAA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AC4262">
      <w:start w:val="1"/>
      <w:numFmt w:val="lowerLetter"/>
      <w:lvlText w:val="%2."/>
      <w:lvlJc w:val="left"/>
      <w:pPr>
        <w:ind w:left="1440" w:hanging="360"/>
      </w:pPr>
    </w:lvl>
    <w:lvl w:ilvl="2" w:tplc="FBAEE338">
      <w:start w:val="1"/>
      <w:numFmt w:val="lowerRoman"/>
      <w:lvlText w:val="%3."/>
      <w:lvlJc w:val="right"/>
      <w:pPr>
        <w:ind w:left="2160" w:hanging="180"/>
      </w:pPr>
    </w:lvl>
    <w:lvl w:ilvl="3" w:tplc="57EC5F66">
      <w:start w:val="1"/>
      <w:numFmt w:val="decimal"/>
      <w:lvlText w:val="%4."/>
      <w:lvlJc w:val="left"/>
      <w:pPr>
        <w:ind w:left="2880" w:hanging="360"/>
      </w:pPr>
    </w:lvl>
    <w:lvl w:ilvl="4" w:tplc="672ED69E">
      <w:start w:val="1"/>
      <w:numFmt w:val="lowerLetter"/>
      <w:lvlText w:val="%5."/>
      <w:lvlJc w:val="left"/>
      <w:pPr>
        <w:ind w:left="3600" w:hanging="360"/>
      </w:pPr>
    </w:lvl>
    <w:lvl w:ilvl="5" w:tplc="F3F0C3FA">
      <w:start w:val="1"/>
      <w:numFmt w:val="lowerRoman"/>
      <w:lvlText w:val="%6."/>
      <w:lvlJc w:val="right"/>
      <w:pPr>
        <w:ind w:left="4320" w:hanging="180"/>
      </w:pPr>
    </w:lvl>
    <w:lvl w:ilvl="6" w:tplc="D010B202">
      <w:start w:val="1"/>
      <w:numFmt w:val="decimal"/>
      <w:lvlText w:val="%7."/>
      <w:lvlJc w:val="left"/>
      <w:pPr>
        <w:ind w:left="5040" w:hanging="360"/>
      </w:pPr>
    </w:lvl>
    <w:lvl w:ilvl="7" w:tplc="A36CEFAC">
      <w:start w:val="1"/>
      <w:numFmt w:val="lowerLetter"/>
      <w:lvlText w:val="%8."/>
      <w:lvlJc w:val="left"/>
      <w:pPr>
        <w:ind w:left="5760" w:hanging="360"/>
      </w:pPr>
    </w:lvl>
    <w:lvl w:ilvl="8" w:tplc="39642D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255"/>
    <w:multiLevelType w:val="hybridMultilevel"/>
    <w:tmpl w:val="14FC8BE0"/>
    <w:lvl w:ilvl="0" w:tplc="7B7A7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F64072">
      <w:start w:val="1"/>
      <w:numFmt w:val="lowerLetter"/>
      <w:lvlText w:val="%2."/>
      <w:lvlJc w:val="left"/>
      <w:pPr>
        <w:ind w:left="1440" w:hanging="360"/>
      </w:pPr>
    </w:lvl>
    <w:lvl w:ilvl="2" w:tplc="9F783E62">
      <w:start w:val="1"/>
      <w:numFmt w:val="lowerRoman"/>
      <w:lvlText w:val="%3."/>
      <w:lvlJc w:val="right"/>
      <w:pPr>
        <w:ind w:left="2160" w:hanging="180"/>
      </w:pPr>
    </w:lvl>
    <w:lvl w:ilvl="3" w:tplc="7FE4B94E">
      <w:start w:val="1"/>
      <w:numFmt w:val="decimal"/>
      <w:lvlText w:val="%4."/>
      <w:lvlJc w:val="left"/>
      <w:pPr>
        <w:ind w:left="2880" w:hanging="360"/>
      </w:pPr>
    </w:lvl>
    <w:lvl w:ilvl="4" w:tplc="9D185058">
      <w:start w:val="1"/>
      <w:numFmt w:val="lowerLetter"/>
      <w:lvlText w:val="%5."/>
      <w:lvlJc w:val="left"/>
      <w:pPr>
        <w:ind w:left="3600" w:hanging="360"/>
      </w:pPr>
    </w:lvl>
    <w:lvl w:ilvl="5" w:tplc="D884C9F0">
      <w:start w:val="1"/>
      <w:numFmt w:val="lowerRoman"/>
      <w:lvlText w:val="%6."/>
      <w:lvlJc w:val="right"/>
      <w:pPr>
        <w:ind w:left="4320" w:hanging="180"/>
      </w:pPr>
    </w:lvl>
    <w:lvl w:ilvl="6" w:tplc="8F06538E">
      <w:start w:val="1"/>
      <w:numFmt w:val="decimal"/>
      <w:lvlText w:val="%7."/>
      <w:lvlJc w:val="left"/>
      <w:pPr>
        <w:ind w:left="5040" w:hanging="360"/>
      </w:pPr>
    </w:lvl>
    <w:lvl w:ilvl="7" w:tplc="F25C5DF0">
      <w:start w:val="1"/>
      <w:numFmt w:val="lowerLetter"/>
      <w:lvlText w:val="%8."/>
      <w:lvlJc w:val="left"/>
      <w:pPr>
        <w:ind w:left="5760" w:hanging="360"/>
      </w:pPr>
    </w:lvl>
    <w:lvl w:ilvl="8" w:tplc="14DEF7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0ED4"/>
    <w:multiLevelType w:val="hybridMultilevel"/>
    <w:tmpl w:val="19E0140C"/>
    <w:lvl w:ilvl="0" w:tplc="5C56C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FF25C02">
      <w:start w:val="1"/>
      <w:numFmt w:val="lowerLetter"/>
      <w:lvlText w:val="%2."/>
      <w:lvlJc w:val="left"/>
      <w:pPr>
        <w:ind w:left="1440" w:hanging="360"/>
      </w:pPr>
    </w:lvl>
    <w:lvl w:ilvl="2" w:tplc="11EA9D24">
      <w:start w:val="1"/>
      <w:numFmt w:val="lowerRoman"/>
      <w:lvlText w:val="%3."/>
      <w:lvlJc w:val="right"/>
      <w:pPr>
        <w:ind w:left="2160" w:hanging="180"/>
      </w:pPr>
    </w:lvl>
    <w:lvl w:ilvl="3" w:tplc="FA148DDA">
      <w:start w:val="1"/>
      <w:numFmt w:val="decimal"/>
      <w:lvlText w:val="%4."/>
      <w:lvlJc w:val="left"/>
      <w:pPr>
        <w:ind w:left="2880" w:hanging="360"/>
      </w:pPr>
    </w:lvl>
    <w:lvl w:ilvl="4" w:tplc="5EE26364">
      <w:start w:val="1"/>
      <w:numFmt w:val="lowerLetter"/>
      <w:lvlText w:val="%5."/>
      <w:lvlJc w:val="left"/>
      <w:pPr>
        <w:ind w:left="3600" w:hanging="360"/>
      </w:pPr>
    </w:lvl>
    <w:lvl w:ilvl="5" w:tplc="49EAE3DE">
      <w:start w:val="1"/>
      <w:numFmt w:val="lowerRoman"/>
      <w:lvlText w:val="%6."/>
      <w:lvlJc w:val="right"/>
      <w:pPr>
        <w:ind w:left="4320" w:hanging="180"/>
      </w:pPr>
    </w:lvl>
    <w:lvl w:ilvl="6" w:tplc="5C5E0BB0">
      <w:start w:val="1"/>
      <w:numFmt w:val="decimal"/>
      <w:lvlText w:val="%7."/>
      <w:lvlJc w:val="left"/>
      <w:pPr>
        <w:ind w:left="5040" w:hanging="360"/>
      </w:pPr>
    </w:lvl>
    <w:lvl w:ilvl="7" w:tplc="D48E0C14">
      <w:start w:val="1"/>
      <w:numFmt w:val="lowerLetter"/>
      <w:lvlText w:val="%8."/>
      <w:lvlJc w:val="left"/>
      <w:pPr>
        <w:ind w:left="5760" w:hanging="360"/>
      </w:pPr>
    </w:lvl>
    <w:lvl w:ilvl="8" w:tplc="E09687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86CDE"/>
    <w:multiLevelType w:val="hybridMultilevel"/>
    <w:tmpl w:val="A8F2CE02"/>
    <w:lvl w:ilvl="0" w:tplc="9EDE1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060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62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C0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00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40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E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E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60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2173C"/>
    <w:multiLevelType w:val="hybridMultilevel"/>
    <w:tmpl w:val="05304956"/>
    <w:lvl w:ilvl="0" w:tplc="F2EC1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CD4B8">
      <w:start w:val="1"/>
      <w:numFmt w:val="lowerLetter"/>
      <w:lvlText w:val="%2."/>
      <w:lvlJc w:val="left"/>
      <w:pPr>
        <w:ind w:left="1440" w:hanging="360"/>
      </w:pPr>
    </w:lvl>
    <w:lvl w:ilvl="2" w:tplc="4246040C">
      <w:start w:val="1"/>
      <w:numFmt w:val="lowerRoman"/>
      <w:lvlText w:val="%3."/>
      <w:lvlJc w:val="right"/>
      <w:pPr>
        <w:ind w:left="2160" w:hanging="180"/>
      </w:pPr>
    </w:lvl>
    <w:lvl w:ilvl="3" w:tplc="969AF582">
      <w:start w:val="1"/>
      <w:numFmt w:val="decimal"/>
      <w:lvlText w:val="%4."/>
      <w:lvlJc w:val="left"/>
      <w:pPr>
        <w:ind w:left="2880" w:hanging="360"/>
      </w:pPr>
    </w:lvl>
    <w:lvl w:ilvl="4" w:tplc="198A4148">
      <w:start w:val="1"/>
      <w:numFmt w:val="lowerLetter"/>
      <w:lvlText w:val="%5."/>
      <w:lvlJc w:val="left"/>
      <w:pPr>
        <w:ind w:left="3600" w:hanging="360"/>
      </w:pPr>
    </w:lvl>
    <w:lvl w:ilvl="5" w:tplc="D640E78E">
      <w:start w:val="1"/>
      <w:numFmt w:val="lowerRoman"/>
      <w:lvlText w:val="%6."/>
      <w:lvlJc w:val="right"/>
      <w:pPr>
        <w:ind w:left="4320" w:hanging="180"/>
      </w:pPr>
    </w:lvl>
    <w:lvl w:ilvl="6" w:tplc="B7887D5A">
      <w:start w:val="1"/>
      <w:numFmt w:val="decimal"/>
      <w:lvlText w:val="%7."/>
      <w:lvlJc w:val="left"/>
      <w:pPr>
        <w:ind w:left="5040" w:hanging="360"/>
      </w:pPr>
    </w:lvl>
    <w:lvl w:ilvl="7" w:tplc="52A4B3AE">
      <w:start w:val="1"/>
      <w:numFmt w:val="lowerLetter"/>
      <w:lvlText w:val="%8."/>
      <w:lvlJc w:val="left"/>
      <w:pPr>
        <w:ind w:left="5760" w:hanging="360"/>
      </w:pPr>
    </w:lvl>
    <w:lvl w:ilvl="8" w:tplc="8C367D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946"/>
    <w:multiLevelType w:val="multilevel"/>
    <w:tmpl w:val="BB94A3EA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D6D0448"/>
    <w:multiLevelType w:val="hybridMultilevel"/>
    <w:tmpl w:val="DA86E09A"/>
    <w:lvl w:ilvl="0" w:tplc="1BC48B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02ADB88">
      <w:start w:val="1"/>
      <w:numFmt w:val="lowerLetter"/>
      <w:lvlText w:val="%2."/>
      <w:lvlJc w:val="left"/>
      <w:pPr>
        <w:ind w:left="1299" w:hanging="360"/>
      </w:pPr>
    </w:lvl>
    <w:lvl w:ilvl="2" w:tplc="AB80D8C0">
      <w:start w:val="1"/>
      <w:numFmt w:val="lowerRoman"/>
      <w:lvlText w:val="%3."/>
      <w:lvlJc w:val="right"/>
      <w:pPr>
        <w:ind w:left="2019" w:hanging="180"/>
      </w:pPr>
    </w:lvl>
    <w:lvl w:ilvl="3" w:tplc="BD0AC5CC">
      <w:start w:val="1"/>
      <w:numFmt w:val="decimal"/>
      <w:lvlText w:val="%4."/>
      <w:lvlJc w:val="left"/>
      <w:pPr>
        <w:ind w:left="2739" w:hanging="360"/>
      </w:pPr>
    </w:lvl>
    <w:lvl w:ilvl="4" w:tplc="96420432">
      <w:start w:val="1"/>
      <w:numFmt w:val="lowerLetter"/>
      <w:lvlText w:val="%5."/>
      <w:lvlJc w:val="left"/>
      <w:pPr>
        <w:ind w:left="3459" w:hanging="360"/>
      </w:pPr>
    </w:lvl>
    <w:lvl w:ilvl="5" w:tplc="45486A50">
      <w:start w:val="1"/>
      <w:numFmt w:val="lowerRoman"/>
      <w:lvlText w:val="%6."/>
      <w:lvlJc w:val="right"/>
      <w:pPr>
        <w:ind w:left="4179" w:hanging="180"/>
      </w:pPr>
    </w:lvl>
    <w:lvl w:ilvl="6" w:tplc="0C764A0C">
      <w:start w:val="1"/>
      <w:numFmt w:val="decimal"/>
      <w:lvlText w:val="%7."/>
      <w:lvlJc w:val="left"/>
      <w:pPr>
        <w:ind w:left="4899" w:hanging="360"/>
      </w:pPr>
    </w:lvl>
    <w:lvl w:ilvl="7" w:tplc="0226B246">
      <w:start w:val="1"/>
      <w:numFmt w:val="lowerLetter"/>
      <w:lvlText w:val="%8."/>
      <w:lvlJc w:val="left"/>
      <w:pPr>
        <w:ind w:left="5619" w:hanging="360"/>
      </w:pPr>
    </w:lvl>
    <w:lvl w:ilvl="8" w:tplc="CDB67BC8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35705CA"/>
    <w:multiLevelType w:val="hybridMultilevel"/>
    <w:tmpl w:val="7194A64A"/>
    <w:lvl w:ilvl="0" w:tplc="E6B0881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4498EA16">
      <w:start w:val="1"/>
      <w:numFmt w:val="lowerLetter"/>
      <w:lvlText w:val="%2."/>
      <w:lvlJc w:val="left"/>
      <w:pPr>
        <w:ind w:left="1440" w:hanging="360"/>
      </w:pPr>
    </w:lvl>
    <w:lvl w:ilvl="2" w:tplc="0FC2095E">
      <w:start w:val="1"/>
      <w:numFmt w:val="lowerRoman"/>
      <w:lvlText w:val="%3."/>
      <w:lvlJc w:val="right"/>
      <w:pPr>
        <w:ind w:left="2160" w:hanging="180"/>
      </w:pPr>
    </w:lvl>
    <w:lvl w:ilvl="3" w:tplc="DD92CC5A">
      <w:start w:val="1"/>
      <w:numFmt w:val="decimal"/>
      <w:lvlText w:val="%4."/>
      <w:lvlJc w:val="left"/>
      <w:pPr>
        <w:ind w:left="2880" w:hanging="360"/>
      </w:pPr>
    </w:lvl>
    <w:lvl w:ilvl="4" w:tplc="0C94E352">
      <w:start w:val="1"/>
      <w:numFmt w:val="lowerLetter"/>
      <w:lvlText w:val="%5."/>
      <w:lvlJc w:val="left"/>
      <w:pPr>
        <w:ind w:left="3600" w:hanging="360"/>
      </w:pPr>
    </w:lvl>
    <w:lvl w:ilvl="5" w:tplc="4EACAE5C">
      <w:start w:val="1"/>
      <w:numFmt w:val="lowerRoman"/>
      <w:lvlText w:val="%6."/>
      <w:lvlJc w:val="right"/>
      <w:pPr>
        <w:ind w:left="4320" w:hanging="180"/>
      </w:pPr>
    </w:lvl>
    <w:lvl w:ilvl="6" w:tplc="A9C21F32">
      <w:start w:val="1"/>
      <w:numFmt w:val="decimal"/>
      <w:lvlText w:val="%7."/>
      <w:lvlJc w:val="left"/>
      <w:pPr>
        <w:ind w:left="5040" w:hanging="360"/>
      </w:pPr>
    </w:lvl>
    <w:lvl w:ilvl="7" w:tplc="49A00A66">
      <w:start w:val="1"/>
      <w:numFmt w:val="lowerLetter"/>
      <w:lvlText w:val="%8."/>
      <w:lvlJc w:val="left"/>
      <w:pPr>
        <w:ind w:left="5760" w:hanging="360"/>
      </w:pPr>
    </w:lvl>
    <w:lvl w:ilvl="8" w:tplc="3E4072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5B00"/>
    <w:multiLevelType w:val="hybridMultilevel"/>
    <w:tmpl w:val="9738C63C"/>
    <w:lvl w:ilvl="0" w:tplc="A0101C5A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367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56B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0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E39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3E5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E7E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AAF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02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5A6F"/>
    <w:multiLevelType w:val="hybridMultilevel"/>
    <w:tmpl w:val="5D643D22"/>
    <w:lvl w:ilvl="0" w:tplc="BAA24708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5220049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9E18AF24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8B6439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EC268A8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8982A1B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82C74F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B2223E3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C1C742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6226DC7"/>
    <w:multiLevelType w:val="hybridMultilevel"/>
    <w:tmpl w:val="59D6F03E"/>
    <w:lvl w:ilvl="0" w:tplc="2640BF2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FF0029BA">
      <w:start w:val="1"/>
      <w:numFmt w:val="lowerLetter"/>
      <w:lvlText w:val="%2."/>
      <w:lvlJc w:val="left"/>
      <w:pPr>
        <w:ind w:left="1440" w:hanging="360"/>
      </w:pPr>
    </w:lvl>
    <w:lvl w:ilvl="2" w:tplc="3684D538">
      <w:start w:val="1"/>
      <w:numFmt w:val="lowerRoman"/>
      <w:lvlText w:val="%3."/>
      <w:lvlJc w:val="right"/>
      <w:pPr>
        <w:ind w:left="2160" w:hanging="180"/>
      </w:pPr>
    </w:lvl>
    <w:lvl w:ilvl="3" w:tplc="6AE425E8">
      <w:start w:val="1"/>
      <w:numFmt w:val="decimal"/>
      <w:lvlText w:val="%4."/>
      <w:lvlJc w:val="left"/>
      <w:pPr>
        <w:ind w:left="2880" w:hanging="360"/>
      </w:pPr>
    </w:lvl>
    <w:lvl w:ilvl="4" w:tplc="A7723DC6">
      <w:start w:val="1"/>
      <w:numFmt w:val="lowerLetter"/>
      <w:lvlText w:val="%5."/>
      <w:lvlJc w:val="left"/>
      <w:pPr>
        <w:ind w:left="3600" w:hanging="360"/>
      </w:pPr>
    </w:lvl>
    <w:lvl w:ilvl="5" w:tplc="22A6A284">
      <w:start w:val="1"/>
      <w:numFmt w:val="lowerRoman"/>
      <w:lvlText w:val="%6."/>
      <w:lvlJc w:val="right"/>
      <w:pPr>
        <w:ind w:left="4320" w:hanging="180"/>
      </w:pPr>
    </w:lvl>
    <w:lvl w:ilvl="6" w:tplc="3BEAFF8E">
      <w:start w:val="1"/>
      <w:numFmt w:val="decimal"/>
      <w:lvlText w:val="%7."/>
      <w:lvlJc w:val="left"/>
      <w:pPr>
        <w:ind w:left="5040" w:hanging="360"/>
      </w:pPr>
    </w:lvl>
    <w:lvl w:ilvl="7" w:tplc="96B633D2">
      <w:start w:val="1"/>
      <w:numFmt w:val="lowerLetter"/>
      <w:lvlText w:val="%8."/>
      <w:lvlJc w:val="left"/>
      <w:pPr>
        <w:ind w:left="5760" w:hanging="360"/>
      </w:pPr>
    </w:lvl>
    <w:lvl w:ilvl="8" w:tplc="6B8EB3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C6269"/>
    <w:multiLevelType w:val="hybridMultilevel"/>
    <w:tmpl w:val="3D9CEA46"/>
    <w:lvl w:ilvl="0" w:tplc="23A60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C28DD38">
      <w:start w:val="1"/>
      <w:numFmt w:val="lowerLetter"/>
      <w:lvlText w:val="%2."/>
      <w:lvlJc w:val="left"/>
      <w:pPr>
        <w:ind w:left="1440" w:hanging="360"/>
      </w:pPr>
    </w:lvl>
    <w:lvl w:ilvl="2" w:tplc="2EA0182E">
      <w:start w:val="1"/>
      <w:numFmt w:val="lowerRoman"/>
      <w:lvlText w:val="%3."/>
      <w:lvlJc w:val="right"/>
      <w:pPr>
        <w:ind w:left="2160" w:hanging="180"/>
      </w:pPr>
    </w:lvl>
    <w:lvl w:ilvl="3" w:tplc="EE908B2C">
      <w:start w:val="1"/>
      <w:numFmt w:val="decimal"/>
      <w:lvlText w:val="%4."/>
      <w:lvlJc w:val="left"/>
      <w:pPr>
        <w:ind w:left="2880" w:hanging="360"/>
      </w:pPr>
    </w:lvl>
    <w:lvl w:ilvl="4" w:tplc="8C0C2352">
      <w:start w:val="1"/>
      <w:numFmt w:val="lowerLetter"/>
      <w:lvlText w:val="%5."/>
      <w:lvlJc w:val="left"/>
      <w:pPr>
        <w:ind w:left="3600" w:hanging="360"/>
      </w:pPr>
    </w:lvl>
    <w:lvl w:ilvl="5" w:tplc="5E9856DE">
      <w:start w:val="1"/>
      <w:numFmt w:val="lowerRoman"/>
      <w:lvlText w:val="%6."/>
      <w:lvlJc w:val="right"/>
      <w:pPr>
        <w:ind w:left="4320" w:hanging="180"/>
      </w:pPr>
    </w:lvl>
    <w:lvl w:ilvl="6" w:tplc="01404FEC">
      <w:start w:val="1"/>
      <w:numFmt w:val="decimal"/>
      <w:lvlText w:val="%7."/>
      <w:lvlJc w:val="left"/>
      <w:pPr>
        <w:ind w:left="5040" w:hanging="360"/>
      </w:pPr>
    </w:lvl>
    <w:lvl w:ilvl="7" w:tplc="A91C3DB6">
      <w:start w:val="1"/>
      <w:numFmt w:val="lowerLetter"/>
      <w:lvlText w:val="%8."/>
      <w:lvlJc w:val="left"/>
      <w:pPr>
        <w:ind w:left="5760" w:hanging="360"/>
      </w:pPr>
    </w:lvl>
    <w:lvl w:ilvl="8" w:tplc="BECACA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D5348"/>
    <w:multiLevelType w:val="hybridMultilevel"/>
    <w:tmpl w:val="7A40525C"/>
    <w:lvl w:ilvl="0" w:tplc="EC1E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4A1C7A">
      <w:start w:val="1"/>
      <w:numFmt w:val="lowerLetter"/>
      <w:lvlText w:val="%2."/>
      <w:lvlJc w:val="left"/>
      <w:pPr>
        <w:ind w:left="1440" w:hanging="360"/>
      </w:pPr>
    </w:lvl>
    <w:lvl w:ilvl="2" w:tplc="C21AEAA6">
      <w:start w:val="1"/>
      <w:numFmt w:val="lowerRoman"/>
      <w:lvlText w:val="%3."/>
      <w:lvlJc w:val="right"/>
      <w:pPr>
        <w:ind w:left="2160" w:hanging="180"/>
      </w:pPr>
    </w:lvl>
    <w:lvl w:ilvl="3" w:tplc="7E8EA742">
      <w:start w:val="1"/>
      <w:numFmt w:val="decimal"/>
      <w:lvlText w:val="%4."/>
      <w:lvlJc w:val="left"/>
      <w:pPr>
        <w:ind w:left="2880" w:hanging="360"/>
      </w:pPr>
    </w:lvl>
    <w:lvl w:ilvl="4" w:tplc="06FE8CE6">
      <w:start w:val="1"/>
      <w:numFmt w:val="lowerLetter"/>
      <w:lvlText w:val="%5."/>
      <w:lvlJc w:val="left"/>
      <w:pPr>
        <w:ind w:left="3600" w:hanging="360"/>
      </w:pPr>
    </w:lvl>
    <w:lvl w:ilvl="5" w:tplc="F9EEEA38">
      <w:start w:val="1"/>
      <w:numFmt w:val="lowerRoman"/>
      <w:lvlText w:val="%6."/>
      <w:lvlJc w:val="right"/>
      <w:pPr>
        <w:ind w:left="4320" w:hanging="180"/>
      </w:pPr>
    </w:lvl>
    <w:lvl w:ilvl="6" w:tplc="052A7A22">
      <w:start w:val="1"/>
      <w:numFmt w:val="decimal"/>
      <w:lvlText w:val="%7."/>
      <w:lvlJc w:val="left"/>
      <w:pPr>
        <w:ind w:left="5040" w:hanging="360"/>
      </w:pPr>
    </w:lvl>
    <w:lvl w:ilvl="7" w:tplc="11C6370A">
      <w:start w:val="1"/>
      <w:numFmt w:val="lowerLetter"/>
      <w:lvlText w:val="%8."/>
      <w:lvlJc w:val="left"/>
      <w:pPr>
        <w:ind w:left="5760" w:hanging="360"/>
      </w:pPr>
    </w:lvl>
    <w:lvl w:ilvl="8" w:tplc="CCC89A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330E"/>
    <w:multiLevelType w:val="hybridMultilevel"/>
    <w:tmpl w:val="C07CD29E"/>
    <w:lvl w:ilvl="0" w:tplc="98F0DB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C8B8C0E8">
      <w:start w:val="1"/>
      <w:numFmt w:val="lowerLetter"/>
      <w:lvlText w:val="%2."/>
      <w:lvlJc w:val="left"/>
      <w:pPr>
        <w:ind w:left="1440" w:hanging="360"/>
      </w:pPr>
    </w:lvl>
    <w:lvl w:ilvl="2" w:tplc="0192969C">
      <w:start w:val="1"/>
      <w:numFmt w:val="lowerRoman"/>
      <w:lvlText w:val="%3."/>
      <w:lvlJc w:val="right"/>
      <w:pPr>
        <w:ind w:left="2160" w:hanging="180"/>
      </w:pPr>
    </w:lvl>
    <w:lvl w:ilvl="3" w:tplc="704CA6BC">
      <w:start w:val="1"/>
      <w:numFmt w:val="decimal"/>
      <w:lvlText w:val="%4."/>
      <w:lvlJc w:val="left"/>
      <w:pPr>
        <w:ind w:left="2880" w:hanging="360"/>
      </w:pPr>
    </w:lvl>
    <w:lvl w:ilvl="4" w:tplc="F5D0AF62">
      <w:start w:val="1"/>
      <w:numFmt w:val="lowerLetter"/>
      <w:lvlText w:val="%5."/>
      <w:lvlJc w:val="left"/>
      <w:pPr>
        <w:ind w:left="3600" w:hanging="360"/>
      </w:pPr>
    </w:lvl>
    <w:lvl w:ilvl="5" w:tplc="BF2C7488">
      <w:start w:val="1"/>
      <w:numFmt w:val="lowerRoman"/>
      <w:lvlText w:val="%6."/>
      <w:lvlJc w:val="right"/>
      <w:pPr>
        <w:ind w:left="4320" w:hanging="180"/>
      </w:pPr>
    </w:lvl>
    <w:lvl w:ilvl="6" w:tplc="EAE62E8E">
      <w:start w:val="1"/>
      <w:numFmt w:val="decimal"/>
      <w:lvlText w:val="%7."/>
      <w:lvlJc w:val="left"/>
      <w:pPr>
        <w:ind w:left="5040" w:hanging="360"/>
      </w:pPr>
    </w:lvl>
    <w:lvl w:ilvl="7" w:tplc="634CBCD0">
      <w:start w:val="1"/>
      <w:numFmt w:val="lowerLetter"/>
      <w:lvlText w:val="%8."/>
      <w:lvlJc w:val="left"/>
      <w:pPr>
        <w:ind w:left="5760" w:hanging="360"/>
      </w:pPr>
    </w:lvl>
    <w:lvl w:ilvl="8" w:tplc="F31AF6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610"/>
    <w:multiLevelType w:val="hybridMultilevel"/>
    <w:tmpl w:val="FB22F282"/>
    <w:lvl w:ilvl="0" w:tplc="08DC54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1D2269C">
      <w:start w:val="1"/>
      <w:numFmt w:val="lowerLetter"/>
      <w:lvlText w:val="%2."/>
      <w:lvlJc w:val="left"/>
      <w:pPr>
        <w:ind w:left="1789" w:hanging="360"/>
      </w:pPr>
    </w:lvl>
    <w:lvl w:ilvl="2" w:tplc="7234D884">
      <w:start w:val="1"/>
      <w:numFmt w:val="lowerRoman"/>
      <w:lvlText w:val="%3."/>
      <w:lvlJc w:val="right"/>
      <w:pPr>
        <w:ind w:left="2509" w:hanging="180"/>
      </w:pPr>
    </w:lvl>
    <w:lvl w:ilvl="3" w:tplc="FF38B444">
      <w:start w:val="1"/>
      <w:numFmt w:val="decimal"/>
      <w:lvlText w:val="%4."/>
      <w:lvlJc w:val="left"/>
      <w:pPr>
        <w:ind w:left="3229" w:hanging="360"/>
      </w:pPr>
    </w:lvl>
    <w:lvl w:ilvl="4" w:tplc="18AE36E6">
      <w:start w:val="1"/>
      <w:numFmt w:val="lowerLetter"/>
      <w:lvlText w:val="%5."/>
      <w:lvlJc w:val="left"/>
      <w:pPr>
        <w:ind w:left="3949" w:hanging="360"/>
      </w:pPr>
    </w:lvl>
    <w:lvl w:ilvl="5" w:tplc="8048EFA6">
      <w:start w:val="1"/>
      <w:numFmt w:val="lowerRoman"/>
      <w:lvlText w:val="%6."/>
      <w:lvlJc w:val="right"/>
      <w:pPr>
        <w:ind w:left="4669" w:hanging="180"/>
      </w:pPr>
    </w:lvl>
    <w:lvl w:ilvl="6" w:tplc="6082E334">
      <w:start w:val="1"/>
      <w:numFmt w:val="decimal"/>
      <w:lvlText w:val="%7."/>
      <w:lvlJc w:val="left"/>
      <w:pPr>
        <w:ind w:left="5389" w:hanging="360"/>
      </w:pPr>
    </w:lvl>
    <w:lvl w:ilvl="7" w:tplc="E8F6D952">
      <w:start w:val="1"/>
      <w:numFmt w:val="lowerLetter"/>
      <w:lvlText w:val="%8."/>
      <w:lvlJc w:val="left"/>
      <w:pPr>
        <w:ind w:left="6109" w:hanging="360"/>
      </w:pPr>
    </w:lvl>
    <w:lvl w:ilvl="8" w:tplc="C91CDBC0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7C7918"/>
    <w:multiLevelType w:val="hybridMultilevel"/>
    <w:tmpl w:val="9E8AB4E8"/>
    <w:lvl w:ilvl="0" w:tplc="DF229C5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BEEF34">
      <w:start w:val="1"/>
      <w:numFmt w:val="lowerLetter"/>
      <w:lvlText w:val="%2."/>
      <w:lvlJc w:val="left"/>
      <w:pPr>
        <w:ind w:left="1789" w:hanging="360"/>
      </w:pPr>
    </w:lvl>
    <w:lvl w:ilvl="2" w:tplc="20AE0E16">
      <w:start w:val="1"/>
      <w:numFmt w:val="lowerRoman"/>
      <w:lvlText w:val="%3."/>
      <w:lvlJc w:val="right"/>
      <w:pPr>
        <w:ind w:left="2509" w:hanging="180"/>
      </w:pPr>
    </w:lvl>
    <w:lvl w:ilvl="3" w:tplc="BEDCB8CC">
      <w:start w:val="1"/>
      <w:numFmt w:val="decimal"/>
      <w:lvlText w:val="%4."/>
      <w:lvlJc w:val="left"/>
      <w:pPr>
        <w:ind w:left="3229" w:hanging="360"/>
      </w:pPr>
    </w:lvl>
    <w:lvl w:ilvl="4" w:tplc="F5880426">
      <w:start w:val="1"/>
      <w:numFmt w:val="lowerLetter"/>
      <w:lvlText w:val="%5."/>
      <w:lvlJc w:val="left"/>
      <w:pPr>
        <w:ind w:left="3949" w:hanging="360"/>
      </w:pPr>
    </w:lvl>
    <w:lvl w:ilvl="5" w:tplc="6CE6470C">
      <w:start w:val="1"/>
      <w:numFmt w:val="lowerRoman"/>
      <w:lvlText w:val="%6."/>
      <w:lvlJc w:val="right"/>
      <w:pPr>
        <w:ind w:left="4669" w:hanging="180"/>
      </w:pPr>
    </w:lvl>
    <w:lvl w:ilvl="6" w:tplc="04DCDE1E">
      <w:start w:val="1"/>
      <w:numFmt w:val="decimal"/>
      <w:lvlText w:val="%7."/>
      <w:lvlJc w:val="left"/>
      <w:pPr>
        <w:ind w:left="5389" w:hanging="360"/>
      </w:pPr>
    </w:lvl>
    <w:lvl w:ilvl="7" w:tplc="E9286468">
      <w:start w:val="1"/>
      <w:numFmt w:val="lowerLetter"/>
      <w:lvlText w:val="%8."/>
      <w:lvlJc w:val="left"/>
      <w:pPr>
        <w:ind w:left="6109" w:hanging="360"/>
      </w:pPr>
    </w:lvl>
    <w:lvl w:ilvl="8" w:tplc="591261D6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8B43FA"/>
    <w:multiLevelType w:val="hybridMultilevel"/>
    <w:tmpl w:val="00BED1D0"/>
    <w:lvl w:ilvl="0" w:tplc="9AF89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A296A0">
      <w:start w:val="1"/>
      <w:numFmt w:val="lowerLetter"/>
      <w:lvlText w:val="%2."/>
      <w:lvlJc w:val="left"/>
      <w:pPr>
        <w:ind w:left="1440" w:hanging="360"/>
      </w:pPr>
    </w:lvl>
    <w:lvl w:ilvl="2" w:tplc="0A70B4D4">
      <w:start w:val="1"/>
      <w:numFmt w:val="lowerRoman"/>
      <w:lvlText w:val="%3."/>
      <w:lvlJc w:val="right"/>
      <w:pPr>
        <w:ind w:left="2160" w:hanging="180"/>
      </w:pPr>
    </w:lvl>
    <w:lvl w:ilvl="3" w:tplc="BE30B434">
      <w:start w:val="1"/>
      <w:numFmt w:val="decimal"/>
      <w:lvlText w:val="%4."/>
      <w:lvlJc w:val="left"/>
      <w:pPr>
        <w:ind w:left="2880" w:hanging="360"/>
      </w:pPr>
    </w:lvl>
    <w:lvl w:ilvl="4" w:tplc="BC269F44">
      <w:start w:val="1"/>
      <w:numFmt w:val="lowerLetter"/>
      <w:lvlText w:val="%5."/>
      <w:lvlJc w:val="left"/>
      <w:pPr>
        <w:ind w:left="3600" w:hanging="360"/>
      </w:pPr>
    </w:lvl>
    <w:lvl w:ilvl="5" w:tplc="9C68ED6A">
      <w:start w:val="1"/>
      <w:numFmt w:val="lowerRoman"/>
      <w:lvlText w:val="%6."/>
      <w:lvlJc w:val="right"/>
      <w:pPr>
        <w:ind w:left="4320" w:hanging="180"/>
      </w:pPr>
    </w:lvl>
    <w:lvl w:ilvl="6" w:tplc="ABDC8F52">
      <w:start w:val="1"/>
      <w:numFmt w:val="decimal"/>
      <w:lvlText w:val="%7."/>
      <w:lvlJc w:val="left"/>
      <w:pPr>
        <w:ind w:left="5040" w:hanging="360"/>
      </w:pPr>
    </w:lvl>
    <w:lvl w:ilvl="7" w:tplc="AC327F16">
      <w:start w:val="1"/>
      <w:numFmt w:val="lowerLetter"/>
      <w:lvlText w:val="%8."/>
      <w:lvlJc w:val="left"/>
      <w:pPr>
        <w:ind w:left="5760" w:hanging="360"/>
      </w:pPr>
    </w:lvl>
    <w:lvl w:ilvl="8" w:tplc="E1A034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D5FE5"/>
    <w:multiLevelType w:val="hybridMultilevel"/>
    <w:tmpl w:val="6128C1B0"/>
    <w:lvl w:ilvl="0" w:tplc="17DEE4C0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5C3A7350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56B28376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BB924DBC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858CB354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3DAE91F4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CD023B04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92789200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707C9DFC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D32983"/>
    <w:multiLevelType w:val="hybridMultilevel"/>
    <w:tmpl w:val="804EA5A2"/>
    <w:lvl w:ilvl="0" w:tplc="AC9C6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A245316">
      <w:start w:val="1"/>
      <w:numFmt w:val="lowerLetter"/>
      <w:lvlText w:val="%2."/>
      <w:lvlJc w:val="left"/>
      <w:pPr>
        <w:ind w:left="1620" w:hanging="360"/>
      </w:pPr>
    </w:lvl>
    <w:lvl w:ilvl="2" w:tplc="C31EF286">
      <w:start w:val="1"/>
      <w:numFmt w:val="lowerRoman"/>
      <w:lvlText w:val="%3."/>
      <w:lvlJc w:val="right"/>
      <w:pPr>
        <w:ind w:left="2340" w:hanging="180"/>
      </w:pPr>
    </w:lvl>
    <w:lvl w:ilvl="3" w:tplc="B2AC09E2">
      <w:start w:val="1"/>
      <w:numFmt w:val="decimal"/>
      <w:lvlText w:val="%4."/>
      <w:lvlJc w:val="left"/>
      <w:pPr>
        <w:ind w:left="3060" w:hanging="360"/>
      </w:pPr>
    </w:lvl>
    <w:lvl w:ilvl="4" w:tplc="5E3C87DC">
      <w:start w:val="1"/>
      <w:numFmt w:val="lowerLetter"/>
      <w:lvlText w:val="%5."/>
      <w:lvlJc w:val="left"/>
      <w:pPr>
        <w:ind w:left="3780" w:hanging="360"/>
      </w:pPr>
    </w:lvl>
    <w:lvl w:ilvl="5" w:tplc="923C7D3A">
      <w:start w:val="1"/>
      <w:numFmt w:val="lowerRoman"/>
      <w:lvlText w:val="%6."/>
      <w:lvlJc w:val="right"/>
      <w:pPr>
        <w:ind w:left="4500" w:hanging="180"/>
      </w:pPr>
    </w:lvl>
    <w:lvl w:ilvl="6" w:tplc="96F49952">
      <w:start w:val="1"/>
      <w:numFmt w:val="decimal"/>
      <w:lvlText w:val="%7."/>
      <w:lvlJc w:val="left"/>
      <w:pPr>
        <w:ind w:left="5220" w:hanging="360"/>
      </w:pPr>
    </w:lvl>
    <w:lvl w:ilvl="7" w:tplc="539C238C">
      <w:start w:val="1"/>
      <w:numFmt w:val="lowerLetter"/>
      <w:lvlText w:val="%8."/>
      <w:lvlJc w:val="left"/>
      <w:pPr>
        <w:ind w:left="5940" w:hanging="360"/>
      </w:pPr>
    </w:lvl>
    <w:lvl w:ilvl="8" w:tplc="0742E7A4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B903E8"/>
    <w:multiLevelType w:val="multilevel"/>
    <w:tmpl w:val="EA8452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66BC046D"/>
    <w:multiLevelType w:val="hybridMultilevel"/>
    <w:tmpl w:val="038EA676"/>
    <w:lvl w:ilvl="0" w:tplc="903E30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1ECD2BC">
      <w:start w:val="1"/>
      <w:numFmt w:val="lowerLetter"/>
      <w:lvlText w:val="%2."/>
      <w:lvlJc w:val="left"/>
      <w:pPr>
        <w:ind w:left="1440" w:hanging="360"/>
      </w:pPr>
    </w:lvl>
    <w:lvl w:ilvl="2" w:tplc="FF7CD2C4">
      <w:start w:val="1"/>
      <w:numFmt w:val="lowerRoman"/>
      <w:lvlText w:val="%3."/>
      <w:lvlJc w:val="right"/>
      <w:pPr>
        <w:ind w:left="2160" w:hanging="180"/>
      </w:pPr>
    </w:lvl>
    <w:lvl w:ilvl="3" w:tplc="537664AE">
      <w:start w:val="1"/>
      <w:numFmt w:val="decimal"/>
      <w:lvlText w:val="%4."/>
      <w:lvlJc w:val="left"/>
      <w:pPr>
        <w:ind w:left="2880" w:hanging="360"/>
      </w:pPr>
    </w:lvl>
    <w:lvl w:ilvl="4" w:tplc="FEA6B26E">
      <w:start w:val="1"/>
      <w:numFmt w:val="lowerLetter"/>
      <w:lvlText w:val="%5."/>
      <w:lvlJc w:val="left"/>
      <w:pPr>
        <w:ind w:left="3600" w:hanging="360"/>
      </w:pPr>
    </w:lvl>
    <w:lvl w:ilvl="5" w:tplc="A8EE3B04">
      <w:start w:val="1"/>
      <w:numFmt w:val="lowerRoman"/>
      <w:lvlText w:val="%6."/>
      <w:lvlJc w:val="right"/>
      <w:pPr>
        <w:ind w:left="4320" w:hanging="180"/>
      </w:pPr>
    </w:lvl>
    <w:lvl w:ilvl="6" w:tplc="737E2356">
      <w:start w:val="1"/>
      <w:numFmt w:val="decimal"/>
      <w:lvlText w:val="%7."/>
      <w:lvlJc w:val="left"/>
      <w:pPr>
        <w:ind w:left="5040" w:hanging="360"/>
      </w:pPr>
    </w:lvl>
    <w:lvl w:ilvl="7" w:tplc="F50C6484">
      <w:start w:val="1"/>
      <w:numFmt w:val="lowerLetter"/>
      <w:lvlText w:val="%8."/>
      <w:lvlJc w:val="left"/>
      <w:pPr>
        <w:ind w:left="5760" w:hanging="360"/>
      </w:pPr>
    </w:lvl>
    <w:lvl w:ilvl="8" w:tplc="AE604B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54EE0"/>
    <w:multiLevelType w:val="hybridMultilevel"/>
    <w:tmpl w:val="6AF015A4"/>
    <w:lvl w:ilvl="0" w:tplc="A2A627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6EC8E08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5B54435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EB40C1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50B09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968CE01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5F80AA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1B8E63A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E5EA090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F47F5D"/>
    <w:multiLevelType w:val="hybridMultilevel"/>
    <w:tmpl w:val="B1DE2FD6"/>
    <w:lvl w:ilvl="0" w:tplc="76DEA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7E949E">
      <w:start w:val="1"/>
      <w:numFmt w:val="lowerLetter"/>
      <w:lvlText w:val="%2."/>
      <w:lvlJc w:val="left"/>
      <w:pPr>
        <w:ind w:left="1440" w:hanging="360"/>
      </w:pPr>
    </w:lvl>
    <w:lvl w:ilvl="2" w:tplc="E524544E">
      <w:start w:val="1"/>
      <w:numFmt w:val="lowerRoman"/>
      <w:lvlText w:val="%3."/>
      <w:lvlJc w:val="right"/>
      <w:pPr>
        <w:ind w:left="2160" w:hanging="180"/>
      </w:pPr>
    </w:lvl>
    <w:lvl w:ilvl="3" w:tplc="B3207120">
      <w:start w:val="1"/>
      <w:numFmt w:val="decimal"/>
      <w:lvlText w:val="%4."/>
      <w:lvlJc w:val="left"/>
      <w:pPr>
        <w:ind w:left="2880" w:hanging="360"/>
      </w:pPr>
    </w:lvl>
    <w:lvl w:ilvl="4" w:tplc="3D0EAF70">
      <w:start w:val="1"/>
      <w:numFmt w:val="lowerLetter"/>
      <w:lvlText w:val="%5."/>
      <w:lvlJc w:val="left"/>
      <w:pPr>
        <w:ind w:left="3600" w:hanging="360"/>
      </w:pPr>
    </w:lvl>
    <w:lvl w:ilvl="5" w:tplc="DC065B0E">
      <w:start w:val="1"/>
      <w:numFmt w:val="lowerRoman"/>
      <w:lvlText w:val="%6."/>
      <w:lvlJc w:val="right"/>
      <w:pPr>
        <w:ind w:left="4320" w:hanging="180"/>
      </w:pPr>
    </w:lvl>
    <w:lvl w:ilvl="6" w:tplc="9EE09606">
      <w:start w:val="1"/>
      <w:numFmt w:val="decimal"/>
      <w:lvlText w:val="%7."/>
      <w:lvlJc w:val="left"/>
      <w:pPr>
        <w:ind w:left="5040" w:hanging="360"/>
      </w:pPr>
    </w:lvl>
    <w:lvl w:ilvl="7" w:tplc="E882560E">
      <w:start w:val="1"/>
      <w:numFmt w:val="lowerLetter"/>
      <w:lvlText w:val="%8."/>
      <w:lvlJc w:val="left"/>
      <w:pPr>
        <w:ind w:left="5760" w:hanging="360"/>
      </w:pPr>
    </w:lvl>
    <w:lvl w:ilvl="8" w:tplc="D122B7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7243F"/>
    <w:multiLevelType w:val="hybridMultilevel"/>
    <w:tmpl w:val="9C8C382A"/>
    <w:lvl w:ilvl="0" w:tplc="F0BCDA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621692">
      <w:start w:val="1"/>
      <w:numFmt w:val="lowerLetter"/>
      <w:lvlText w:val="%2."/>
      <w:lvlJc w:val="left"/>
      <w:pPr>
        <w:ind w:left="1789" w:hanging="360"/>
      </w:pPr>
    </w:lvl>
    <w:lvl w:ilvl="2" w:tplc="662E7102">
      <w:start w:val="1"/>
      <w:numFmt w:val="lowerRoman"/>
      <w:lvlText w:val="%3."/>
      <w:lvlJc w:val="right"/>
      <w:pPr>
        <w:ind w:left="2509" w:hanging="180"/>
      </w:pPr>
    </w:lvl>
    <w:lvl w:ilvl="3" w:tplc="EEE67DE8">
      <w:start w:val="1"/>
      <w:numFmt w:val="decimal"/>
      <w:lvlText w:val="%4."/>
      <w:lvlJc w:val="left"/>
      <w:pPr>
        <w:ind w:left="3229" w:hanging="360"/>
      </w:pPr>
    </w:lvl>
    <w:lvl w:ilvl="4" w:tplc="98BE3AB6">
      <w:start w:val="1"/>
      <w:numFmt w:val="lowerLetter"/>
      <w:lvlText w:val="%5."/>
      <w:lvlJc w:val="left"/>
      <w:pPr>
        <w:ind w:left="3949" w:hanging="360"/>
      </w:pPr>
    </w:lvl>
    <w:lvl w:ilvl="5" w:tplc="C2BAE690">
      <w:start w:val="1"/>
      <w:numFmt w:val="lowerRoman"/>
      <w:lvlText w:val="%6."/>
      <w:lvlJc w:val="right"/>
      <w:pPr>
        <w:ind w:left="4669" w:hanging="180"/>
      </w:pPr>
    </w:lvl>
    <w:lvl w:ilvl="6" w:tplc="CAFE130A">
      <w:start w:val="1"/>
      <w:numFmt w:val="decimal"/>
      <w:lvlText w:val="%7."/>
      <w:lvlJc w:val="left"/>
      <w:pPr>
        <w:ind w:left="5389" w:hanging="360"/>
      </w:pPr>
    </w:lvl>
    <w:lvl w:ilvl="7" w:tplc="D784A154">
      <w:start w:val="1"/>
      <w:numFmt w:val="lowerLetter"/>
      <w:lvlText w:val="%8."/>
      <w:lvlJc w:val="left"/>
      <w:pPr>
        <w:ind w:left="6109" w:hanging="360"/>
      </w:pPr>
    </w:lvl>
    <w:lvl w:ilvl="8" w:tplc="AC1406A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6"/>
  </w:num>
  <w:num w:numId="7">
    <w:abstractNumId w:val="25"/>
  </w:num>
  <w:num w:numId="8">
    <w:abstractNumId w:val="17"/>
  </w:num>
  <w:num w:numId="9">
    <w:abstractNumId w:val="7"/>
  </w:num>
  <w:num w:numId="10">
    <w:abstractNumId w:val="23"/>
  </w:num>
  <w:num w:numId="11">
    <w:abstractNumId w:val="19"/>
  </w:num>
  <w:num w:numId="12">
    <w:abstractNumId w:val="24"/>
  </w:num>
  <w:num w:numId="13">
    <w:abstractNumId w:val="10"/>
  </w:num>
  <w:num w:numId="14">
    <w:abstractNumId w:val="11"/>
  </w:num>
  <w:num w:numId="1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9"/>
  </w:num>
  <w:num w:numId="20">
    <w:abstractNumId w:val="4"/>
  </w:num>
  <w:num w:numId="21">
    <w:abstractNumId w:val="12"/>
  </w:num>
  <w:num w:numId="22">
    <w:abstractNumId w:val="15"/>
  </w:num>
  <w:num w:numId="23">
    <w:abstractNumId w:val="0"/>
  </w:num>
  <w:num w:numId="24">
    <w:abstractNumId w:val="21"/>
  </w:num>
  <w:num w:numId="25">
    <w:abstractNumId w:val="3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5D"/>
    <w:rsid w:val="002D469B"/>
    <w:rsid w:val="00681F79"/>
    <w:rsid w:val="00C9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DB80"/>
  <w15:docId w15:val="{3CB73939-044F-4F3E-9B04-D55EAF58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0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paragraph" w:customStyle="1" w:styleId="240">
    <w:name w:val="Основной текст 24"/>
    <w:basedOn w:val="a"/>
    <w:rPr>
      <w:sz w:val="28"/>
      <w:szCs w:val="20"/>
    </w:rPr>
  </w:style>
  <w:style w:type="character" w:customStyle="1" w:styleId="63">
    <w:name w:val="Основной текст (6)_"/>
    <w:basedOn w:val="a0"/>
    <w:link w:val="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4">
    <w:name w:val="Основной текст (6)"/>
    <w:basedOn w:val="a"/>
    <w:link w:val="63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ConsPlusCell0">
    <w:name w:val="ConsPlusCell Знак"/>
    <w:link w:val="ConsPlusCel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7">
    <w:name w:val="Всегда"/>
    <w:basedOn w:val="a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250">
    <w:name w:val="Основной текст 25"/>
    <w:basedOn w:val="a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A398-8C2F-44CC-AC9C-99A86144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3358</Words>
  <Characters>19143</Characters>
  <Application>Microsoft Office Word</Application>
  <DocSecurity>0</DocSecurity>
  <Lines>159</Lines>
  <Paragraphs>44</Paragraphs>
  <ScaleCrop>false</ScaleCrop>
  <Company>CtrlSoft</Company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Татьяна Андреевна Науменко</cp:lastModifiedBy>
  <cp:revision>220</cp:revision>
  <dcterms:created xsi:type="dcterms:W3CDTF">2024-01-25T03:51:00Z</dcterms:created>
  <dcterms:modified xsi:type="dcterms:W3CDTF">2025-12-29T11:59:00Z</dcterms:modified>
</cp:coreProperties>
</file>