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B5" w:rsidRDefault="00E968B5">
      <w:pPr>
        <w:ind w:right="-1"/>
        <w:rPr>
          <w:rFonts w:asciiTheme="minorHAnsi" w:hAnsiTheme="minorHAnsi"/>
          <w:b/>
          <w:sz w:val="12"/>
          <w:szCs w:val="28"/>
        </w:rPr>
      </w:pPr>
    </w:p>
    <w:p w:rsidR="00E968B5" w:rsidRDefault="00DA6B9E">
      <w:pPr>
        <w:ind w:right="-1"/>
        <w:jc w:val="center"/>
        <w:rPr>
          <w:rFonts w:ascii="Pragmatica" w:hAnsi="Pragmatica"/>
          <w:b/>
          <w:sz w:val="1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62230</wp:posOffset>
                </wp:positionV>
                <wp:extent cx="586740" cy="714375"/>
                <wp:effectExtent l="19050" t="0" r="3810" b="0"/>
                <wp:wrapTight wrapText="bothSides">
                  <wp:wrapPolygon edited="1">
                    <wp:start x="-701" y="0"/>
                    <wp:lineTo x="-701" y="21312"/>
                    <wp:lineTo x="21740" y="21312"/>
                    <wp:lineTo x="21740" y="0"/>
                    <wp:lineTo x="-701" y="0"/>
                  </wp:wrapPolygon>
                </wp:wrapTight>
                <wp:docPr id="1" name="Рисунок 32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20.25pt;mso-position-horizontal:absolute;mso-position-vertical-relative:text;margin-top:4.90pt;mso-position-vertical:absolute;width:46.20pt;height:56.25pt;mso-wrap-distance-left:9.00pt;mso-wrap-distance-top:0.00pt;mso-wrap-distance-right:9.00pt;mso-wrap-distance-bottom:0.00pt;" wrapcoords="-3244 0 -3244 98667 100648 98667 100648 0 -3244 0" stroked="f" strokeweight="0.75pt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E968B5" w:rsidRDefault="00E968B5">
      <w:pPr>
        <w:ind w:right="-1"/>
        <w:jc w:val="center"/>
        <w:rPr>
          <w:rFonts w:ascii="Pragmatica" w:hAnsi="Pragmatica"/>
          <w:b/>
          <w:sz w:val="10"/>
          <w:szCs w:val="10"/>
        </w:rPr>
      </w:pPr>
    </w:p>
    <w:p w:rsidR="00E968B5" w:rsidRDefault="00E968B5">
      <w:pPr>
        <w:ind w:right="-1"/>
        <w:jc w:val="center"/>
        <w:rPr>
          <w:rFonts w:ascii="Pragmatica" w:hAnsi="Pragmatica"/>
          <w:b/>
          <w:szCs w:val="28"/>
        </w:rPr>
      </w:pPr>
    </w:p>
    <w:p w:rsidR="00E968B5" w:rsidRDefault="00E968B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8B5" w:rsidRDefault="00E968B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8B5" w:rsidRDefault="00E968B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68B5" w:rsidRDefault="00DA6B9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E968B5" w:rsidRDefault="00E968B5">
      <w:pPr>
        <w:pStyle w:val="ConsPlusNonforma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968B5" w:rsidRDefault="00DA6B9E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E968B5" w:rsidRDefault="00E968B5">
      <w:pPr>
        <w:rPr>
          <w:rFonts w:ascii="Pragmatica" w:hAnsi="Pragmatica"/>
          <w:b/>
          <w:szCs w:val="28"/>
        </w:rPr>
      </w:pPr>
    </w:p>
    <w:p w:rsidR="00E968B5" w:rsidRDefault="00DA6B9E">
      <w:pPr>
        <w:pStyle w:val="14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15.12.2025</w:t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/>
          <w:caps/>
          <w:sz w:val="28"/>
          <w:szCs w:val="28"/>
        </w:rPr>
        <w:t>№ 1284-</w:t>
      </w:r>
      <w:r>
        <w:rPr>
          <w:rFonts w:ascii="Times New Roman" w:eastAsia="Times New Roman" w:hAnsi="Times New Roman"/>
          <w:sz w:val="28"/>
          <w:szCs w:val="28"/>
        </w:rPr>
        <w:t>п</w:t>
      </w:r>
    </w:p>
    <w:p w:rsidR="00E968B5" w:rsidRDefault="00DA6B9E">
      <w:pPr>
        <w:jc w:val="center"/>
      </w:pPr>
      <w:r>
        <w:t>г.Нефтеюганск</w:t>
      </w:r>
    </w:p>
    <w:p w:rsidR="00E968B5" w:rsidRDefault="00E968B5">
      <w:pPr>
        <w:ind w:firstLine="709"/>
        <w:jc w:val="both"/>
        <w:rPr>
          <w:b/>
          <w:sz w:val="28"/>
          <w:szCs w:val="28"/>
        </w:rPr>
      </w:pPr>
    </w:p>
    <w:p w:rsidR="00E968B5" w:rsidRDefault="00DA6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04.12.2024 № 2008-п «</w:t>
      </w:r>
      <w:bookmarkStart w:id="0" w:name="_Hlk118188577"/>
      <w:r>
        <w:rPr>
          <w:b/>
          <w:sz w:val="28"/>
          <w:szCs w:val="28"/>
        </w:rPr>
        <w:t>Об определении уполномоченных лиц, ответственных за реализацию соглашения о взаимодействии между Департаментом экономического развития Ханты-Мансийского автономного округа – Югры, Фондом развития Ханты-Мансийского автономного округа – Югры и городским окру</w:t>
      </w:r>
      <w:r>
        <w:rPr>
          <w:b/>
          <w:sz w:val="28"/>
          <w:szCs w:val="28"/>
        </w:rPr>
        <w:t>гом Нефтеюганск по обеспечению функционирования Инвестиционной карты Ханты-Мансийского автономного округа – Югры»</w:t>
      </w:r>
      <w:bookmarkEnd w:id="0"/>
    </w:p>
    <w:p w:rsidR="00E968B5" w:rsidRDefault="00E968B5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8B5" w:rsidRDefault="00DA6B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>
        <w:rPr>
          <w:color w:val="000000" w:themeColor="text1"/>
          <w:sz w:val="28"/>
        </w:rPr>
        <w:t>Федеральным законом от 20.03.2025 № 33-ФЗ                        «Об общих принципах организации местного самоуправления в е</w:t>
      </w:r>
      <w:r>
        <w:rPr>
          <w:color w:val="000000" w:themeColor="text1"/>
          <w:sz w:val="28"/>
        </w:rPr>
        <w:t xml:space="preserve">диной системе публичной власти», </w:t>
      </w:r>
      <w:r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25.08.2022 № 213 «О Регламенте ведения инвестиционной карты Ханты-Мансийского автономного округа – Югры», </w:t>
      </w:r>
      <w:r>
        <w:rPr>
          <w:sz w:val="28"/>
        </w:rPr>
        <w:t xml:space="preserve">Уставом города </w:t>
      </w:r>
      <w:r>
        <w:rPr>
          <w:color w:val="000000" w:themeColor="text1"/>
          <w:sz w:val="28"/>
        </w:rPr>
        <w:t>Нефтеюган</w:t>
      </w:r>
      <w:r>
        <w:rPr>
          <w:color w:val="000000" w:themeColor="text1"/>
          <w:sz w:val="28"/>
        </w:rPr>
        <w:t xml:space="preserve">ска, на </w:t>
      </w:r>
      <w:r>
        <w:rPr>
          <w:sz w:val="28"/>
        </w:rPr>
        <w:t>основании</w:t>
      </w:r>
      <w:r>
        <w:rPr>
          <w:sz w:val="28"/>
          <w:szCs w:val="28"/>
        </w:rPr>
        <w:t xml:space="preserve"> пункта 2.14 соглашения   о взаимодействии между Департаментом экономического развития                    Ханты-Мансийского автономного округа – Югры, Фондом развития                       Ханты-Мансийского автономного округа – Югры и горо</w:t>
      </w:r>
      <w:r>
        <w:rPr>
          <w:sz w:val="28"/>
          <w:szCs w:val="28"/>
        </w:rPr>
        <w:t>дским округом Нефтеюганск по обеспечению функционирования Инвестиционной карты Ханты-Мансийского автономного округа – Югры от 24.08.2022 № 124, в связи              с кадровыми изменениями в органах администрации города Нефтеюганска,                      с</w:t>
      </w:r>
      <w:r>
        <w:rPr>
          <w:sz w:val="28"/>
          <w:szCs w:val="28"/>
        </w:rPr>
        <w:t xml:space="preserve"> учетом писем департамента муниципального имущества </w:t>
      </w:r>
      <w:r>
        <w:rPr>
          <w:sz w:val="28"/>
          <w:szCs w:val="28"/>
        </w:rPr>
        <w:t xml:space="preserve">администрации города Нефтеюганска </w:t>
      </w:r>
      <w:r>
        <w:rPr>
          <w:sz w:val="28"/>
          <w:szCs w:val="28"/>
        </w:rPr>
        <w:t>от 24.11.2025 № ИСХ.ДМИ-1-1/15-9142-5,</w:t>
      </w:r>
      <w:r>
        <w:rPr>
          <w:sz w:val="28"/>
          <w:szCs w:val="28"/>
        </w:rPr>
        <w:t xml:space="preserve"> комитета физической культуры и спорта администрации города Нефтеюганска                                                  от 21.11.2</w:t>
      </w:r>
      <w:r>
        <w:rPr>
          <w:sz w:val="28"/>
          <w:szCs w:val="28"/>
        </w:rPr>
        <w:t>025 № ИСХ.КФКиС-01-18-3025-5 администрация города Нефтеюганска</w:t>
      </w:r>
      <w:r>
        <w:rPr>
          <w:color w:val="000000"/>
          <w:sz w:val="28"/>
        </w:rPr>
        <w:t xml:space="preserve"> постановляет:</w:t>
      </w:r>
    </w:p>
    <w:p w:rsidR="00E968B5" w:rsidRDefault="00DA6B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изменения в постановление администрации города Нефтеюганска от 04.12.2024 № 2008-п «Об определении уполномоченных лиц, ответственных за реализацию соглашения о взаимодей</w:t>
      </w:r>
      <w:r>
        <w:rPr>
          <w:sz w:val="28"/>
          <w:szCs w:val="28"/>
        </w:rPr>
        <w:t>ствии между Департаментом экономического развития Ханты-Мансийского автономного округа – Югры, Фондом развития Ханты-Мансийского автономного округа – Югры и городским округом Нефтеюганск по обеспечению функционирования Инвестиционной карты Ханты-Мансийског</w:t>
      </w:r>
      <w:r>
        <w:rPr>
          <w:sz w:val="28"/>
          <w:szCs w:val="28"/>
        </w:rPr>
        <w:t xml:space="preserve">о автономного округа – Югры»                    </w:t>
      </w:r>
      <w:r>
        <w:rPr>
          <w:sz w:val="28"/>
          <w:szCs w:val="28"/>
        </w:rPr>
        <w:lastRenderedPageBreak/>
        <w:t xml:space="preserve">(с изменениями, </w:t>
      </w:r>
      <w:r>
        <w:rPr>
          <w:sz w:val="28"/>
          <w:szCs w:val="28"/>
        </w:rPr>
        <w:t xml:space="preserve">внесенными постановлением администрации города Нефтеюганска </w:t>
      </w:r>
      <w:r>
        <w:rPr>
          <w:sz w:val="28"/>
          <w:szCs w:val="28"/>
        </w:rPr>
        <w:t>от 17.07.2025 № 771-п), а именно:</w:t>
      </w:r>
    </w:p>
    <w:p w:rsidR="00E968B5" w:rsidRDefault="00DA6B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1.1.В преамбуле сло</w:t>
      </w:r>
      <w:r>
        <w:rPr>
          <w:sz w:val="28"/>
          <w:szCs w:val="28"/>
        </w:rPr>
        <w:t>ва «</w:t>
      </w:r>
      <w:r>
        <w:rPr>
          <w:color w:val="000000"/>
          <w:sz w:val="28"/>
        </w:rPr>
        <w:t>Федеральным законом от 06.10.2003 № 131-ФЗ       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заменить на слова «</w:t>
      </w:r>
      <w:r>
        <w:rPr>
          <w:color w:val="000000" w:themeColor="text1"/>
          <w:sz w:val="28"/>
        </w:rPr>
        <w:t>Фе</w:t>
      </w:r>
      <w:r>
        <w:rPr>
          <w:color w:val="000000" w:themeColor="text1"/>
          <w:sz w:val="28"/>
        </w:rPr>
        <w:t>деральным законом от 20.03.2025 № 33-ФЗ                            «Об общих принципах организации местно</w:t>
      </w:r>
      <w:r>
        <w:rPr>
          <w:color w:val="000000" w:themeColor="text1"/>
          <w:sz w:val="28"/>
        </w:rPr>
        <w:t>го самоуправления в единой системе публичной власти»</w:t>
      </w:r>
      <w:r>
        <w:rPr>
          <w:sz w:val="28"/>
          <w:szCs w:val="28"/>
        </w:rPr>
        <w:t>.</w:t>
      </w:r>
    </w:p>
    <w:p w:rsidR="00E968B5" w:rsidRDefault="00DA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1.2.В подпункте 1.2.3 пункта 1.2 слова «электронная почта: </w:t>
      </w:r>
      <w:hyperlink r:id="rId13" w:tooltip="http://dmi@admugansk.ru" w:history="1">
        <w:r>
          <w:rPr>
            <w:rStyle w:val="aff3"/>
            <w:color w:val="000000" w:themeColor="text1"/>
            <w:sz w:val="28"/>
            <w:szCs w:val="28"/>
            <w:u w:val="none"/>
          </w:rPr>
          <w:t>dmi@admugansk.ru</w:t>
        </w:r>
      </w:hyperlink>
      <w:r>
        <w:rPr>
          <w:sz w:val="28"/>
          <w:szCs w:val="28"/>
        </w:rPr>
        <w:t xml:space="preserve">» заменить на слова «электронная почта: </w:t>
      </w:r>
      <w:hyperlink r:id="rId14" w:tooltip="http://oui_dmi@admugansk.ru" w:history="1">
        <w:r>
          <w:rPr>
            <w:rStyle w:val="aff3"/>
            <w:color w:val="000000" w:themeColor="text1"/>
            <w:sz w:val="28"/>
            <w:szCs w:val="28"/>
            <w:u w:val="none"/>
          </w:rPr>
          <w:t>oui_dmi@admugansk.ru</w:t>
        </w:r>
        <w:r>
          <w:rPr>
            <w:rStyle w:val="aff3"/>
            <w:color w:val="000000" w:themeColor="text1"/>
            <w:sz w:val="28"/>
            <w:szCs w:val="28"/>
          </w:rPr>
          <w:t>.</w:t>
        </w:r>
      </w:hyperlink>
      <w:r>
        <w:rPr>
          <w:sz w:val="28"/>
          <w:szCs w:val="28"/>
        </w:rPr>
        <w:t>».</w:t>
      </w:r>
    </w:p>
    <w:p w:rsidR="00E968B5" w:rsidRDefault="00DA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1.3.В подпункте 1.3.2 пункта 1.3 слова «тел. 8 (3463) 27-63-34, электронная почта: </w:t>
      </w:r>
      <w:hyperlink r:id="rId15" w:tooltip="mailto:kfk-sport@mail.ru," w:history="1">
        <w:r>
          <w:rPr>
            <w:rStyle w:val="aff3"/>
            <w:color w:val="000000" w:themeColor="text1"/>
            <w:sz w:val="28"/>
            <w:szCs w:val="28"/>
            <w:u w:val="none"/>
          </w:rPr>
          <w:t>kfk-sport@mail.ru,</w:t>
        </w:r>
      </w:hyperlink>
      <w:r>
        <w:rPr>
          <w:color w:val="000000" w:themeColor="text1"/>
          <w:sz w:val="28"/>
          <w:szCs w:val="28"/>
          <w:highlight w:val="white"/>
        </w:rPr>
        <w:t xml:space="preserve"> </w:t>
      </w:r>
      <w:hyperlink r:id="rId16" w:tooltip="http://artamon02@mail.ru" w:history="1">
        <w:r>
          <w:rPr>
            <w:rStyle w:val="aff3"/>
            <w:color w:val="000000" w:themeColor="text1"/>
            <w:sz w:val="28"/>
            <w:szCs w:val="28"/>
            <w:highlight w:val="white"/>
            <w:u w:val="none"/>
          </w:rPr>
          <w:t>artamon02@mail.ru</w:t>
        </w:r>
      </w:hyperlink>
      <w:r>
        <w:rPr>
          <w:color w:val="000000" w:themeColor="text1"/>
          <w:sz w:val="28"/>
          <w:szCs w:val="28"/>
          <w:highlight w:val="white"/>
        </w:rPr>
        <w:t xml:space="preserve">» заменить </w:t>
      </w:r>
      <w:r>
        <w:rPr>
          <w:color w:val="000000" w:themeColor="text1"/>
          <w:sz w:val="28"/>
          <w:szCs w:val="28"/>
        </w:rPr>
        <w:t>на слова «</w:t>
      </w:r>
      <w:r>
        <w:rPr>
          <w:sz w:val="28"/>
          <w:szCs w:val="28"/>
        </w:rPr>
        <w:t xml:space="preserve">тел. 8 (3463)                        22-42-15, электронная почта: </w:t>
      </w:r>
      <w:hyperlink r:id="rId17" w:tooltip="mailto:sportkomitet@admugansk.ru" w:history="1">
        <w:r>
          <w:rPr>
            <w:rStyle w:val="aff3"/>
            <w:color w:val="000000" w:themeColor="text1"/>
            <w:sz w:val="28"/>
            <w:szCs w:val="28"/>
            <w:u w:val="none"/>
          </w:rPr>
          <w:t>sportkomitet@admugansk.ru</w:t>
        </w:r>
      </w:hyperlink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968B5" w:rsidRDefault="00DA6B9E">
      <w:pPr>
        <w:tabs>
          <w:tab w:val="left" w:pos="74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1.4.Подпункт 1.3.3 пункта 1.3 изложить в следующей редакции:</w:t>
      </w:r>
    </w:p>
    <w:p w:rsidR="00E968B5" w:rsidRDefault="00DA6B9E">
      <w:pPr>
        <w:tabs>
          <w:tab w:val="left" w:pos="74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«1.3.3.Директора департамента образования администрации города Нефтеюганска Бородина Дмитрия Викторовича, тел. 8 (3463) 23 86-53, электронная</w:t>
      </w:r>
      <w:r>
        <w:rPr>
          <w:sz w:val="28"/>
          <w:szCs w:val="28"/>
        </w:rPr>
        <w:t xml:space="preserve"> почта: Borodindv@admugansk.ru.».</w:t>
      </w:r>
    </w:p>
    <w:p w:rsidR="00E968B5" w:rsidRDefault="00DA6B9E">
      <w:pPr>
        <w:tabs>
          <w:tab w:val="left" w:pos="74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2.Департаменту экономического развития администрации города Нефтеюганска (Ильина Ю.В.) разместить</w:t>
      </w:r>
      <w:r>
        <w:rPr>
          <w:color w:val="000000" w:themeColor="text1"/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Инвестиционном портале города Нефтеюганска.</w:t>
      </w:r>
    </w:p>
    <w:p w:rsidR="00E968B5" w:rsidRDefault="00DA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3.Информационно-аналитическому отделу администрации города (Мих</w:t>
      </w:r>
      <w:r>
        <w:rPr>
          <w:sz w:val="28"/>
          <w:szCs w:val="28"/>
        </w:rPr>
        <w:t>айлова Ю.В.) разместить постановление на официальном сайте органов местного самоуправления города Нефтеюганска.</w:t>
      </w:r>
    </w:p>
    <w:p w:rsidR="00E968B5" w:rsidRDefault="00DA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 постановления возложить на заместителя главы города Нефтеюганска Н.С.Халезову.</w:t>
      </w:r>
    </w:p>
    <w:p w:rsidR="00E968B5" w:rsidRDefault="00E968B5">
      <w:pPr>
        <w:ind w:firstLine="709"/>
        <w:jc w:val="both"/>
        <w:rPr>
          <w:sz w:val="28"/>
          <w:szCs w:val="28"/>
        </w:rPr>
      </w:pPr>
    </w:p>
    <w:p w:rsidR="00E968B5" w:rsidRDefault="00E968B5">
      <w:pPr>
        <w:pStyle w:val="210"/>
        <w:tabs>
          <w:tab w:val="left" w:pos="0"/>
          <w:tab w:val="left" w:pos="851"/>
        </w:tabs>
        <w:jc w:val="both"/>
        <w:rPr>
          <w:szCs w:val="28"/>
        </w:rPr>
      </w:pPr>
    </w:p>
    <w:p w:rsidR="00E968B5" w:rsidRDefault="00DA6B9E">
      <w:pPr>
        <w:pStyle w:val="210"/>
        <w:tabs>
          <w:tab w:val="left" w:pos="0"/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Глава города Нефтеюганска                </w:t>
      </w:r>
      <w:r>
        <w:rPr>
          <w:szCs w:val="28"/>
        </w:rPr>
        <w:t xml:space="preserve">                                                 Ю.В.Чекунов</w:t>
      </w:r>
    </w:p>
    <w:p w:rsidR="00E968B5" w:rsidRDefault="00E968B5">
      <w:pPr>
        <w:pStyle w:val="210"/>
        <w:tabs>
          <w:tab w:val="left" w:pos="0"/>
          <w:tab w:val="left" w:pos="851"/>
        </w:tabs>
        <w:jc w:val="both"/>
        <w:rPr>
          <w:szCs w:val="28"/>
        </w:rPr>
      </w:pPr>
    </w:p>
    <w:p w:rsidR="00E968B5" w:rsidRDefault="00E968B5">
      <w:pPr>
        <w:pStyle w:val="210"/>
        <w:tabs>
          <w:tab w:val="left" w:pos="0"/>
          <w:tab w:val="left" w:pos="851"/>
        </w:tabs>
        <w:jc w:val="both"/>
        <w:rPr>
          <w:szCs w:val="28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ind w:left="142"/>
        <w:rPr>
          <w:rFonts w:eastAsia="Calibri"/>
          <w:sz w:val="28"/>
          <w:szCs w:val="28"/>
          <w:lang w:eastAsia="en-US"/>
        </w:rPr>
      </w:pPr>
    </w:p>
    <w:p w:rsidR="00E968B5" w:rsidRDefault="00E968B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sectPr w:rsidR="00E968B5">
      <w:headerReference w:type="even" r:id="rId18"/>
      <w:head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9E" w:rsidRDefault="00DA6B9E">
      <w:r>
        <w:separator/>
      </w:r>
    </w:p>
  </w:endnote>
  <w:endnote w:type="continuationSeparator" w:id="0">
    <w:p w:rsidR="00DA6B9E" w:rsidRDefault="00DA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MT Extr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9E" w:rsidRDefault="00DA6B9E">
      <w:r>
        <w:separator/>
      </w:r>
    </w:p>
  </w:footnote>
  <w:footnote w:type="continuationSeparator" w:id="0">
    <w:p w:rsidR="00DA6B9E" w:rsidRDefault="00DA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B5" w:rsidRDefault="00DA6B9E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2</w:t>
    </w:r>
    <w:r>
      <w:rPr>
        <w:rStyle w:val="af8"/>
      </w:rPr>
      <w:fldChar w:fldCharType="end"/>
    </w:r>
  </w:p>
  <w:p w:rsidR="00E968B5" w:rsidRDefault="00E968B5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627430"/>
      <w:docPartObj>
        <w:docPartGallery w:val="Page Numbers (Top of Page)"/>
        <w:docPartUnique/>
      </w:docPartObj>
    </w:sdtPr>
    <w:sdtEndPr/>
    <w:sdtContent>
      <w:p w:rsidR="00E968B5" w:rsidRDefault="00DA6B9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0C">
          <w:rPr>
            <w:noProof/>
          </w:rPr>
          <w:t>2</w:t>
        </w:r>
        <w:r>
          <w:fldChar w:fldCharType="end"/>
        </w:r>
      </w:p>
    </w:sdtContent>
  </w:sdt>
  <w:p w:rsidR="00E968B5" w:rsidRDefault="00E968B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26E3"/>
    <w:multiLevelType w:val="multilevel"/>
    <w:tmpl w:val="F744B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686BFF"/>
    <w:multiLevelType w:val="hybridMultilevel"/>
    <w:tmpl w:val="E23EF14C"/>
    <w:lvl w:ilvl="0" w:tplc="8FDA4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3027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E62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68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E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1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E0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096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C5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958EE"/>
    <w:multiLevelType w:val="hybridMultilevel"/>
    <w:tmpl w:val="E788E6A4"/>
    <w:lvl w:ilvl="0" w:tplc="D534D1C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248B94">
      <w:start w:val="1"/>
      <w:numFmt w:val="lowerLetter"/>
      <w:lvlText w:val="%2."/>
      <w:lvlJc w:val="left"/>
      <w:pPr>
        <w:ind w:left="1440" w:hanging="360"/>
      </w:pPr>
    </w:lvl>
    <w:lvl w:ilvl="2" w:tplc="141A6C5E">
      <w:start w:val="1"/>
      <w:numFmt w:val="lowerRoman"/>
      <w:lvlText w:val="%3."/>
      <w:lvlJc w:val="right"/>
      <w:pPr>
        <w:ind w:left="2160" w:hanging="180"/>
      </w:pPr>
    </w:lvl>
    <w:lvl w:ilvl="3" w:tplc="DCC865C8">
      <w:start w:val="1"/>
      <w:numFmt w:val="decimal"/>
      <w:lvlText w:val="%4."/>
      <w:lvlJc w:val="left"/>
      <w:pPr>
        <w:ind w:left="2880" w:hanging="360"/>
      </w:pPr>
    </w:lvl>
    <w:lvl w:ilvl="4" w:tplc="FEE2D176">
      <w:start w:val="1"/>
      <w:numFmt w:val="lowerLetter"/>
      <w:lvlText w:val="%5."/>
      <w:lvlJc w:val="left"/>
      <w:pPr>
        <w:ind w:left="3600" w:hanging="360"/>
      </w:pPr>
    </w:lvl>
    <w:lvl w:ilvl="5" w:tplc="23A6FA16">
      <w:start w:val="1"/>
      <w:numFmt w:val="lowerRoman"/>
      <w:lvlText w:val="%6."/>
      <w:lvlJc w:val="right"/>
      <w:pPr>
        <w:ind w:left="4320" w:hanging="180"/>
      </w:pPr>
    </w:lvl>
    <w:lvl w:ilvl="6" w:tplc="B9DEFB04">
      <w:start w:val="1"/>
      <w:numFmt w:val="decimal"/>
      <w:lvlText w:val="%7."/>
      <w:lvlJc w:val="left"/>
      <w:pPr>
        <w:ind w:left="5040" w:hanging="360"/>
      </w:pPr>
    </w:lvl>
    <w:lvl w:ilvl="7" w:tplc="552A9630">
      <w:start w:val="1"/>
      <w:numFmt w:val="lowerLetter"/>
      <w:lvlText w:val="%8."/>
      <w:lvlJc w:val="left"/>
      <w:pPr>
        <w:ind w:left="5760" w:hanging="360"/>
      </w:pPr>
    </w:lvl>
    <w:lvl w:ilvl="8" w:tplc="2D7C5D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CC"/>
    <w:multiLevelType w:val="hybridMultilevel"/>
    <w:tmpl w:val="665AED06"/>
    <w:lvl w:ilvl="0" w:tplc="8208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FA06846">
      <w:start w:val="1"/>
      <w:numFmt w:val="lowerLetter"/>
      <w:lvlText w:val="%2."/>
      <w:lvlJc w:val="left"/>
      <w:pPr>
        <w:ind w:left="1440" w:hanging="360"/>
      </w:pPr>
    </w:lvl>
    <w:lvl w:ilvl="2" w:tplc="B4B86BD2">
      <w:start w:val="1"/>
      <w:numFmt w:val="lowerRoman"/>
      <w:lvlText w:val="%3."/>
      <w:lvlJc w:val="right"/>
      <w:pPr>
        <w:ind w:left="2160" w:hanging="180"/>
      </w:pPr>
    </w:lvl>
    <w:lvl w:ilvl="3" w:tplc="D368B446">
      <w:start w:val="1"/>
      <w:numFmt w:val="decimal"/>
      <w:lvlText w:val="%4."/>
      <w:lvlJc w:val="left"/>
      <w:pPr>
        <w:ind w:left="2880" w:hanging="360"/>
      </w:pPr>
    </w:lvl>
    <w:lvl w:ilvl="4" w:tplc="8C46CB6E">
      <w:start w:val="1"/>
      <w:numFmt w:val="lowerLetter"/>
      <w:lvlText w:val="%5."/>
      <w:lvlJc w:val="left"/>
      <w:pPr>
        <w:ind w:left="3600" w:hanging="360"/>
      </w:pPr>
    </w:lvl>
    <w:lvl w:ilvl="5" w:tplc="CE728F4C">
      <w:start w:val="1"/>
      <w:numFmt w:val="lowerRoman"/>
      <w:lvlText w:val="%6."/>
      <w:lvlJc w:val="right"/>
      <w:pPr>
        <w:ind w:left="4320" w:hanging="180"/>
      </w:pPr>
    </w:lvl>
    <w:lvl w:ilvl="6" w:tplc="B888AE18">
      <w:start w:val="1"/>
      <w:numFmt w:val="decimal"/>
      <w:lvlText w:val="%7."/>
      <w:lvlJc w:val="left"/>
      <w:pPr>
        <w:ind w:left="5040" w:hanging="360"/>
      </w:pPr>
    </w:lvl>
    <w:lvl w:ilvl="7" w:tplc="58FE5CBE">
      <w:start w:val="1"/>
      <w:numFmt w:val="lowerLetter"/>
      <w:lvlText w:val="%8."/>
      <w:lvlJc w:val="left"/>
      <w:pPr>
        <w:ind w:left="5760" w:hanging="360"/>
      </w:pPr>
    </w:lvl>
    <w:lvl w:ilvl="8" w:tplc="58F88A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59AE"/>
    <w:multiLevelType w:val="multilevel"/>
    <w:tmpl w:val="C940484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43537B69"/>
    <w:multiLevelType w:val="hybridMultilevel"/>
    <w:tmpl w:val="8E9A335A"/>
    <w:lvl w:ilvl="0" w:tplc="5C50C93A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CF0814A">
      <w:start w:val="1"/>
      <w:numFmt w:val="lowerLetter"/>
      <w:lvlText w:val="%2."/>
      <w:lvlJc w:val="left"/>
      <w:pPr>
        <w:ind w:left="2160" w:hanging="360"/>
      </w:pPr>
    </w:lvl>
    <w:lvl w:ilvl="2" w:tplc="50E25444">
      <w:start w:val="1"/>
      <w:numFmt w:val="lowerRoman"/>
      <w:lvlText w:val="%3."/>
      <w:lvlJc w:val="right"/>
      <w:pPr>
        <w:ind w:left="2880" w:hanging="180"/>
      </w:pPr>
    </w:lvl>
    <w:lvl w:ilvl="3" w:tplc="31D65D16">
      <w:start w:val="1"/>
      <w:numFmt w:val="decimal"/>
      <w:lvlText w:val="%4."/>
      <w:lvlJc w:val="left"/>
      <w:pPr>
        <w:ind w:left="3600" w:hanging="360"/>
      </w:pPr>
    </w:lvl>
    <w:lvl w:ilvl="4" w:tplc="A07EA446">
      <w:start w:val="1"/>
      <w:numFmt w:val="lowerLetter"/>
      <w:lvlText w:val="%5."/>
      <w:lvlJc w:val="left"/>
      <w:pPr>
        <w:ind w:left="4320" w:hanging="360"/>
      </w:pPr>
    </w:lvl>
    <w:lvl w:ilvl="5" w:tplc="8FFC6366">
      <w:start w:val="1"/>
      <w:numFmt w:val="lowerRoman"/>
      <w:lvlText w:val="%6."/>
      <w:lvlJc w:val="right"/>
      <w:pPr>
        <w:ind w:left="5040" w:hanging="180"/>
      </w:pPr>
    </w:lvl>
    <w:lvl w:ilvl="6" w:tplc="979836D2">
      <w:start w:val="1"/>
      <w:numFmt w:val="decimal"/>
      <w:lvlText w:val="%7."/>
      <w:lvlJc w:val="left"/>
      <w:pPr>
        <w:ind w:left="5760" w:hanging="360"/>
      </w:pPr>
    </w:lvl>
    <w:lvl w:ilvl="7" w:tplc="67661968">
      <w:start w:val="1"/>
      <w:numFmt w:val="lowerLetter"/>
      <w:lvlText w:val="%8."/>
      <w:lvlJc w:val="left"/>
      <w:pPr>
        <w:ind w:left="6480" w:hanging="360"/>
      </w:pPr>
    </w:lvl>
    <w:lvl w:ilvl="8" w:tplc="137264D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FA7255"/>
    <w:multiLevelType w:val="hybridMultilevel"/>
    <w:tmpl w:val="00564EFE"/>
    <w:lvl w:ilvl="0" w:tplc="F2822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5ECC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41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28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BF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6D6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AB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66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2CF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B5"/>
    <w:rsid w:val="0095630C"/>
    <w:rsid w:val="00DA6B9E"/>
    <w:rsid w:val="00E9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8E94"/>
  <w15:docId w15:val="{0C2DDD9A-4987-421F-A09C-C2C2AC9A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b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c">
    <w:name w:val="Balloon Text"/>
    <w:basedOn w:val="a"/>
    <w:link w:val="afd"/>
    <w:uiPriority w:val="99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eastAsia="Times New Roman" w:hAnsi="Tahoma" w:cs="Tahoma"/>
      <w:sz w:val="16"/>
      <w:szCs w:val="16"/>
    </w:rPr>
  </w:style>
  <w:style w:type="paragraph" w:customStyle="1" w:styleId="220">
    <w:name w:val="Основной текст 22"/>
    <w:basedOn w:val="a"/>
    <w:rPr>
      <w:sz w:val="28"/>
      <w:szCs w:val="20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i/>
      <w:sz w:val="28"/>
    </w:rPr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6"/>
    <w:pPr>
      <w:jc w:val="both"/>
    </w:pPr>
    <w:rPr>
      <w:sz w:val="28"/>
      <w:szCs w:val="20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8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character" w:styleId="aff3">
    <w:name w:val="Hyperlink"/>
    <w:basedOn w:val="a0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Без интервала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dmi@admugansk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hyperlink" Target="mailto:sportkomitet@admug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tamon02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kfk-sport@mail.ru,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yperlink" Target="http://oui_dmi@admug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88DBD-166B-4D6D-84FA-90D1F5BE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Jur</dc:creator>
  <cp:keywords/>
  <cp:lastModifiedBy>Татьяна Андреевна Науменко</cp:lastModifiedBy>
  <cp:revision>120</cp:revision>
  <dcterms:created xsi:type="dcterms:W3CDTF">2022-11-01T04:59:00Z</dcterms:created>
  <dcterms:modified xsi:type="dcterms:W3CDTF">2025-12-15T11:17:00Z</dcterms:modified>
</cp:coreProperties>
</file>