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84" w:rsidRDefault="00840B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9376" cy="718110"/>
                <wp:effectExtent l="0" t="0" r="0" b="0"/>
                <wp:docPr id="1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597327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9375" cy="7181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19pt;height:56.54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</w:p>
    <w:p w:rsidR="00A55884" w:rsidRDefault="00A558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5884" w:rsidRDefault="00840B4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Batang" w:hAnsi="Times New Roman" w:cs="Times New Roman"/>
          <w:b/>
          <w:sz w:val="32"/>
          <w:szCs w:val="32"/>
          <w:lang w:eastAsia="ru-RU"/>
        </w:rPr>
        <w:t>АДМИНИСТРАЦИЯ ГОРОДА НЕФТЕЮГАНСКА</w:t>
      </w:r>
    </w:p>
    <w:p w:rsidR="00A55884" w:rsidRDefault="00A5588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10"/>
          <w:szCs w:val="10"/>
          <w:lang w:eastAsia="ru-RU"/>
        </w:rPr>
      </w:pPr>
    </w:p>
    <w:p w:rsidR="00A55884" w:rsidRDefault="00840B4C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aps/>
          <w:sz w:val="40"/>
          <w:szCs w:val="40"/>
          <w:lang w:eastAsia="ru-RU"/>
        </w:rPr>
      </w:pPr>
      <w:r>
        <w:rPr>
          <w:rFonts w:ascii="Times New Roman" w:eastAsia="Batang" w:hAnsi="Times New Roman" w:cs="Times New Roman"/>
          <w:b/>
          <w:caps/>
          <w:sz w:val="40"/>
          <w:szCs w:val="40"/>
          <w:lang w:eastAsia="ru-RU"/>
        </w:rPr>
        <w:t>постановление</w:t>
      </w:r>
    </w:p>
    <w:tbl>
      <w:tblPr>
        <w:tblW w:w="96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403"/>
        <w:gridCol w:w="1800"/>
      </w:tblGrid>
      <w:tr w:rsidR="00A55884">
        <w:trPr>
          <w:cantSplit/>
          <w:trHeight w:val="397"/>
        </w:trPr>
        <w:tc>
          <w:tcPr>
            <w:tcW w:w="2410" w:type="dxa"/>
          </w:tcPr>
          <w:p w:rsidR="00A55884" w:rsidRDefault="00840B4C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10.11.2025</w:t>
            </w:r>
          </w:p>
        </w:tc>
        <w:tc>
          <w:tcPr>
            <w:tcW w:w="5403" w:type="dxa"/>
          </w:tcPr>
          <w:p w:rsidR="00A55884" w:rsidRDefault="00A55884"/>
        </w:tc>
        <w:tc>
          <w:tcPr>
            <w:tcW w:w="1800" w:type="dxa"/>
          </w:tcPr>
          <w:p w:rsidR="00A55884" w:rsidRDefault="00840B4C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№ 1174-п</w:t>
            </w:r>
          </w:p>
        </w:tc>
      </w:tr>
    </w:tbl>
    <w:p w:rsidR="00A55884" w:rsidRDefault="00840B4C">
      <w:pPr>
        <w:ind w:right="-2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>г.Нефтеюганск</w:t>
      </w:r>
    </w:p>
    <w:p w:rsidR="00A55884" w:rsidRDefault="00840B4C">
      <w:pPr>
        <w:widowControl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О внесении изменений в постановление администрации города</w:t>
      </w: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Нефтеюганска от 15.11.2018 № 605-п «Об утверждении муниципальной программы города Нефтеюганска «Развитие жилищно-коммунального                                                        комплекса и повышение энергетической эффективности в городе Нефтеюганске»</w:t>
      </w:r>
    </w:p>
    <w:p w:rsidR="00A55884" w:rsidRDefault="00A55884">
      <w:pPr>
        <w:widowControl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:rsidR="00A55884" w:rsidRDefault="00840B4C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 соответствии с </w:t>
      </w:r>
      <w:r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Федеральным законом от 06.10.2003 № 131-ФЗ                         «Об общих принципах организации местного самоуправления в Российской Федерации»,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постановлением Правительства Ханты-Мансийского автономного округа – Югры от 10.11.2023 №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561-п «О государственной программе Ханты-Мансийского автономного округа – Югры «Строительство», постановлением Правительства Ханты-Мансийского автономного округа от 10.11.2023 № 553-п «О государственной программе Ханты-Мансийского автономного округа – Югры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«Пространственное развитие и формирование комфортной городской среды», постановлением Правительства Ханты-Мансийского автономного округа – Югры от 20.01.2023 № 27-п «О региональной программе Ханты-Мансийского автономного округа – Югры «Модернизация коммун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альной инфраструктуры на 2023-2027 годы»,   решением Думы города Нефтеюганска                от 20.12.2023 № 458-VII «Об утверждении Стратегии социально-экономического развития муниципального образования город Нефтеюганск до 2036 года                     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с целевыми ориентирами до 2050 года»,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рмирования, утверждения и реализации», в связи с уточнением объемов бюджетных ассигнований и лимитов бюджетных обязательств администрация города Нефтеюганска постановляет: </w:t>
      </w:r>
    </w:p>
    <w:p w:rsidR="00A55884" w:rsidRDefault="00840B4C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1.Внести изменения в постановление администрации города Нефтеюганска от 15.11.2018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№ 605-п «Об утверждении муниципальной программы города Нефтеюганска «Развитие жилищно-коммунального комплекса и повышение энергетической эффективности в городе Нефтеюганске» (с изменениями, внесенными постановлениями администрации города Нефтеюганска  от 2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0.02.2019 № 77-п, от 26.03.2019 № 130-п, от 24.04.2019 № 209-п, от 20.05.2019 № 256-п, от 19.06.2019 № 480-п, от 05.09.2019 № 877-п, от 11.10.2019 № 1096-п, от 14.11.2019 № 1274-п, от 19.12.2019 № 1456-п, от 25.12.2019 </w:t>
      </w:r>
      <w:hyperlink r:id="rId14" w:tooltip="http://www.admugansk.ru/uploads/2019/12/1482.docx" w:history="1">
        <w:r>
          <w:rPr>
            <w:rFonts w:ascii="Times New Roman" w:eastAsia="Batang" w:hAnsi="Times New Roman" w:cs="Times New Roman"/>
            <w:sz w:val="28"/>
            <w:szCs w:val="28"/>
            <w:lang w:eastAsia="ko-KR"/>
          </w:rPr>
          <w:t>№ 1482-п</w:t>
        </w:r>
      </w:hyperlink>
      <w:r>
        <w:rPr>
          <w:rFonts w:ascii="Times New Roman" w:eastAsia="Batang" w:hAnsi="Times New Roman" w:cs="Times New Roman"/>
          <w:sz w:val="28"/>
          <w:szCs w:val="28"/>
          <w:lang w:eastAsia="ko-KR"/>
        </w:rPr>
        <w:t>, от 17.02.2020 </w:t>
      </w:r>
      <w:hyperlink r:id="rId15" w:tooltip="http://www.admugansk.ru/uploads/2020/02/245.docx" w:history="1">
        <w:r>
          <w:rPr>
            <w:rFonts w:ascii="Times New Roman" w:eastAsia="Batang" w:hAnsi="Times New Roman" w:cs="Times New Roman"/>
            <w:sz w:val="28"/>
            <w:szCs w:val="28"/>
            <w:lang w:eastAsia="ko-KR"/>
          </w:rPr>
          <w:t>№ 245-п</w:t>
        </w:r>
      </w:hyperlink>
      <w:r>
        <w:rPr>
          <w:rFonts w:ascii="Times New Roman" w:eastAsia="Batang" w:hAnsi="Times New Roman" w:cs="Times New Roman"/>
          <w:sz w:val="28"/>
          <w:szCs w:val="28"/>
          <w:lang w:eastAsia="ko-KR"/>
        </w:rPr>
        <w:t>, от 24.03.2020 № 451-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п, от 17.04.2020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>№ 598-п, от 25.05.2020 № 834-п, от 18.06.2020 № 937-п, от 23.09.2020 № 1578-п, от 14.10.2020 № 1750-п, от 20.11.2020 № 2017-п, от 21.12.2020 № 2232-п, от 23.03.2021 № 388-п, от 19.04.2021 № 532-п, от 02.06.2021 № 821-п, от 22.06.2021 № 988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-п, от 07.07.2021 № 1111-п, от 21.09.2021 № 1583-п, от 06.10.2021 № 1692-п, от 23.11.2021 № 1979-п, от 25.11.2021 № 1996-п, от 30.12.2021 № 2263-п, от 12.01.2022 № 17-п,  от 31.01.2022 № 124-п, от 16.03.2022 № 432-п, от 08.04.2022 № 630-п, от 12.05.2022 №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852-п, от 20.05.2022 № 931-п, от 23.06.2022  № 1218-п, от 02.08.2022 № 1539-п, от 30.08.2022 № 1741-п, от 03.10.2022 № 1996-п, от 14.10.2022 № 2103-п, от 08.11.2022 № 2278-п, от 21.11.2022 № 2368-п, от 20.12.2022 № 2644-п,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от 30.12.2022 № 2739-п, от 14.02.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2023 № 140-п, от 21.03.2023 № 287-п, от 25.04.2023 № 513-п, от 19.05.2023 № 627-п, от 14.06.2023 № 743-п, от 10.07.2023 № 866-п, от 22.08.2023 № 1056-п, от 19.09.2023 № 1192-п, от 13.10.2023 № 1332-п, от 09.11.2023 № 1474-п, от 27.12.2023 № 1874-п, от 29.1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2.2023 № 1886-п, от 15.02.2024 № 283-п, от 03.04.2024 № 640-п, от 15.05.2024 № 933-п, от 19.06.2024 № 1171-п, от 23.07.2024 № 1385-п, от 28.08.2024 № 1555-п, от 26.09.2024 № 1674-п, от 17.10.2024 № 1767-п, от 12.12.2024 № 2027-п, от 12.12.2024 № 2041-п, от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26.12.2024 № 2134-п, от 24.01.2025 № 54-п, от 10.03.2025 № 257-п, от 21.05.2025 № 526-п, от 07.07.2025 № 738-п, от 02.09.2025 № 905-п), а именно: в приложении к постановлению: </w:t>
      </w:r>
    </w:p>
    <w:p w:rsidR="00A55884" w:rsidRDefault="00840B4C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1.1.Строку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Объемы финансового обеспечения за весь период реализации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» таблицы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2 «Общие положения» паспорта муниципальной программы «Развитие жилищно-коммунального комплекса и повышение энергетической эффективности в городе Нефтеюганске» (далее – паспорт муниципальной программы) изложить в следующей редакции:  </w:t>
      </w:r>
    </w:p>
    <w:p w:rsidR="00A55884" w:rsidRDefault="00840B4C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16"/>
          <w:szCs w:val="16"/>
        </w:rPr>
      </w:pPr>
      <w:r>
        <w:rPr>
          <w:rFonts w:ascii="Times New Roman" w:eastAsia="Batang" w:hAnsi="Times New Roman" w:cs="Times New Roman"/>
          <w:sz w:val="16"/>
          <w:szCs w:val="16"/>
          <w:lang w:eastAsia="ko-KR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528"/>
      </w:tblGrid>
      <w:tr w:rsidR="00A55884">
        <w:trPr>
          <w:trHeight w:val="726"/>
        </w:trPr>
        <w:tc>
          <w:tcPr>
            <w:tcW w:w="411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5528" w:type="dxa"/>
            <w:vAlign w:val="center"/>
          </w:tcPr>
          <w:p w:rsidR="00A55884" w:rsidRDefault="00840B4C">
            <w:pPr>
              <w:tabs>
                <w:tab w:val="left" w:pos="601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9 862 539,33136 тыс.руб.</w:t>
            </w:r>
          </w:p>
        </w:tc>
      </w:tr>
    </w:tbl>
    <w:p w:rsidR="00A55884" w:rsidRDefault="00840B4C">
      <w:pPr>
        <w:widowControl w:val="0"/>
        <w:spacing w:after="0" w:line="240" w:lineRule="auto"/>
        <w:ind w:firstLine="709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».</w:t>
      </w:r>
    </w:p>
    <w:p w:rsidR="00A55884" w:rsidRDefault="00840B4C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1.2.Таблицу 3 «Показатели муниципальной программы» паспорта муниципальной программы изложить согласно приложению 1 к настоящему постановлению. </w:t>
      </w:r>
    </w:p>
    <w:p w:rsidR="00A55884" w:rsidRDefault="00840B4C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1.3.Таблицу 4 «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План достижения показателей муниципальной программы в 2025 году» паспорта муниципальной программы изложить согласно приложению 2 к настоящему постановлению. </w:t>
      </w:r>
    </w:p>
    <w:p w:rsidR="00A55884" w:rsidRDefault="00840B4C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1.4.Таблицу 5 «Структура муниципальной программы» паспорта муниципальной программы изложить соглас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но приложению 3 к настоящему постановлению. </w:t>
      </w:r>
    </w:p>
    <w:p w:rsidR="00A55884" w:rsidRDefault="00840B4C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1.5.Таблицу 6 «Финансовое обеспечение муниципальной программы» паспорта муниципальной программы изложить согласно приложению 4                        к настоящему постановлению. </w:t>
      </w:r>
    </w:p>
    <w:p w:rsidR="00A55884" w:rsidRDefault="00840B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2.Информационно-аналитическому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A55884" w:rsidRDefault="00A558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A55884" w:rsidRDefault="00840B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55884">
          <w:headerReference w:type="default" r:id="rId16"/>
          <w:footerReference w:type="default" r:id="rId17"/>
          <w:pgSz w:w="11906" w:h="16838"/>
          <w:pgMar w:top="992" w:right="566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lastRenderedPageBreak/>
        <w:t>Глава города Нефтеюганска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Ю.В.Чекунов</w:t>
      </w:r>
    </w:p>
    <w:p w:rsidR="00A55884" w:rsidRDefault="00840B4C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Приложение 1 </w:t>
      </w:r>
    </w:p>
    <w:p w:rsidR="00A55884" w:rsidRDefault="00840B4C">
      <w:pPr>
        <w:widowControl w:val="0"/>
        <w:spacing w:after="0" w:line="240" w:lineRule="auto"/>
        <w:ind w:left="6379" w:firstLine="142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A55884" w:rsidRDefault="00840B4C">
      <w:pPr>
        <w:widowControl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A55884" w:rsidRDefault="00840B4C">
      <w:pPr>
        <w:widowControl w:val="0"/>
        <w:spacing w:after="0" w:line="240" w:lineRule="auto"/>
        <w:ind w:left="6804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от 10.11.2025 № 1174-п</w:t>
      </w:r>
    </w:p>
    <w:p w:rsidR="00A55884" w:rsidRDefault="00840B4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3</w:t>
      </w:r>
    </w:p>
    <w:p w:rsidR="00A55884" w:rsidRDefault="00840B4C">
      <w:pPr>
        <w:tabs>
          <w:tab w:val="left" w:pos="519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Показатели муниципальной программы</w:t>
      </w:r>
    </w:p>
    <w:tbl>
      <w:tblPr>
        <w:tblpPr w:leftFromText="180" w:rightFromText="180" w:vertAnchor="text" w:horzAnchor="margin" w:tblpX="-861" w:tblpY="568"/>
        <w:tblW w:w="16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992"/>
        <w:gridCol w:w="851"/>
        <w:gridCol w:w="1135"/>
        <w:gridCol w:w="1135"/>
        <w:gridCol w:w="707"/>
        <w:gridCol w:w="993"/>
        <w:gridCol w:w="992"/>
        <w:gridCol w:w="851"/>
        <w:gridCol w:w="849"/>
        <w:gridCol w:w="851"/>
        <w:gridCol w:w="1558"/>
        <w:gridCol w:w="992"/>
        <w:gridCol w:w="850"/>
        <w:gridCol w:w="709"/>
      </w:tblGrid>
      <w:tr w:rsidR="00A55884">
        <w:trPr>
          <w:trHeight w:val="558"/>
        </w:trPr>
        <w:tc>
          <w:tcPr>
            <w:tcW w:w="704" w:type="dxa"/>
            <w:vMerge w:val="restart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1135" w:type="dxa"/>
            <w:vMerge w:val="restart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2" w:type="dxa"/>
            <w:gridSpan w:val="2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536" w:type="dxa"/>
            <w:gridSpan w:val="5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1558" w:type="dxa"/>
            <w:vMerge w:val="restart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992" w:type="dxa"/>
            <w:vMerge w:val="restart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Информационная система </w:t>
            </w:r>
          </w:p>
        </w:tc>
      </w:tr>
      <w:tr w:rsidR="00A55884">
        <w:trPr>
          <w:cantSplit/>
          <w:trHeight w:val="912"/>
        </w:trPr>
        <w:tc>
          <w:tcPr>
            <w:tcW w:w="704" w:type="dxa"/>
            <w:vMerge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7" w:type="dxa"/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4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2027</w:t>
            </w: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2028-2030</w:t>
            </w:r>
          </w:p>
        </w:tc>
        <w:tc>
          <w:tcPr>
            <w:tcW w:w="1558" w:type="dxa"/>
            <w:vMerge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212"/>
        </w:trPr>
        <w:tc>
          <w:tcPr>
            <w:tcW w:w="704" w:type="dxa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ind w:left="27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ind w:left="-2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vAlign w:val="center"/>
          </w:tcPr>
          <w:p w:rsidR="00A55884" w:rsidRDefault="00840B4C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vAlign w:val="center"/>
          </w:tcPr>
          <w:p w:rsidR="00A55884" w:rsidRDefault="00840B4C">
            <w:pPr>
              <w:spacing w:after="0" w:line="240" w:lineRule="auto"/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16</w:t>
            </w:r>
          </w:p>
        </w:tc>
      </w:tr>
      <w:tr w:rsidR="00A55884">
        <w:trPr>
          <w:trHeight w:val="408"/>
        </w:trPr>
        <w:tc>
          <w:tcPr>
            <w:tcW w:w="16295" w:type="dxa"/>
            <w:gridSpan w:val="16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Цель 1 «Обеспечение надежности и качества предоставления жилищно-коммунальных услуг и развития» </w:t>
            </w:r>
          </w:p>
        </w:tc>
      </w:tr>
      <w:tr w:rsidR="00A55884">
        <w:trPr>
          <w:trHeight w:val="414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реконструированных объектов коммунального значения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ГП</w:t>
            </w: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ХМАО-Югры от 10.11.2023 № 561-п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градостроительства и земельных отношений (далее-ДГиЗО)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Процент обеспечения помывок льготных категорий граждан (не менее 100%) от всех обратившихся за мерами социальной поддержки в виде льготного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пользования услугами городской бани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п.15 ст.16 ФЗ от 06.10.2003 № 131-ФЗ «Об общих принципах организации местного самоуправления в РФ».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Думы города Нефтеюганска от 25.04.2012 № 276-V «О дополнительных мерах социальной поддержки для отдельных категорий граждан в 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Нефтеюганске»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Обеспечение вывоза бытовых сточных вод от многоквартирных жилых домов, подключенных к централизованной системе водоснабжения, оборудованных внутридомовой системой водоотведения и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 подключенных к сетям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централизованной системы водоотведения на территории города Нефтеюганска (не менее 100% домов от количества домов, предусмотренных графиком откачки и вывоза бытовых сточных вод).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п.4 ст.16 ФЗ от 06.10.2003 № 131-ФЗ «Об общих принципах организации местного самоуправления в РФ». 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газоснабжением территории города Нефтеюганска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0,112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ХМАО-Югры от 10.11.2023 № 561-п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бесперебойной работы объекта «Фильтровальная станция»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Пп.4 п.1 ст.16 ФЗ от 06.10.2003 № 131-ФЗ «Об общих принципах организации местного 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1260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протяженности построенных сетей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1135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 администрации города Нефтеюганска № 279-р от 22.10.2021.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33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отсутствия просроченной (два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более месяцев) задолженности за потребленный топливно-энергический ресурс, да/нет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 ст.16 ФЗ от 06.10.2003 № 131-ФЗ «Об общих принципах организации местного 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33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дизельным топливом котельных, при условии перевода котлов на резервный вид топлива, не менее 100% от потребности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 ст.16 ФЗ от 06.10.2003 № 131-ФЗ «Об общих принципах организации местного 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08"/>
        </w:trPr>
        <w:tc>
          <w:tcPr>
            <w:tcW w:w="16295" w:type="dxa"/>
            <w:gridSpan w:val="16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Цель 2 «Повышение доступности и качества жилищных услуг» </w:t>
            </w: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отремонтированных жилых помещений муниципального жилищного фонда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98</w:t>
            </w: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ч.3 ст. 156 ЖК РФ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выполнения минимального перечня услуг и работ, необходимых для обеспечения надлежащего содержания общего имущества в многоквартирном доме (не менее 100%) от работ и услуг, предусмотренных договором (управления или содержания)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ч.3 ст. 156 ЖК РФ, ч.4 ст.155 ЖК РФ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муниципального имущества (далее-ДМИ)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Исполнение запланированных работ по проведению капитального ремонта в МКД вследствие возникновения неотложной необходимости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ч.1 ст. 14 ЖК РФ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08"/>
        </w:trPr>
        <w:tc>
          <w:tcPr>
            <w:tcW w:w="16295" w:type="dxa"/>
            <w:gridSpan w:val="16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Цель 3 «Энергосбережение»</w:t>
            </w: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энергии,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потребляемой (используемой) на территории муниципального образования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Департамент по делам администрации (далее-ДДА)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Департамент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образования (далее-ДО)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омитет физической культуры и спорта (далее-КФКиС)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Комитет культуры и туризма (далее-ККиТ)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Организации коммунального комплекса (далее-ОКК)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Управляющие компании товарищества собственников жилья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(далее-УК и ТСЖ)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Ресурс снабжающие организации (далее-РО)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Доля объема тепловой энергии, расчеты за которую осуществляются с использованием приборов учета, в общем объеме тепловой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энергии, потребляемой (используемой) на территории муниципального образования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83,20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УК и ТСЖ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Доля объема холодной воды, расчеты за которую осуществляются с использованием приборов учета, в общем объеме воды, </w:t>
            </w:r>
          </w:p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потребляемой (используемой) на территории муниципального образования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УК и ТСЖ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Доля объема горячей воды, расчеты за которую осуществляются с использованием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 xml:space="preserve">приборов учета, в общем объеме воды, потребляемой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(используемой) на территории муниципального образования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        ДМИ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 и ТСЖ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3.5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 и ТСЖ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кВт*ч/м²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48,44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Удельный расход тепловой энергии на </w:t>
            </w:r>
          </w:p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снабжение органов местного самоуправления </w:t>
            </w:r>
          </w:p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 муниципальных учреждений (в расчете на 1 кв. метр общей площади)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Гкал/м²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Удельный расход холодной воды на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>снабжение органов местного самоуправления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 муниципальных учреждений (в расчете на 1 человека)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м³/чел.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РФ от 11.02.2021 № 161.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ДДА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КФКиС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3.9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м³/чел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Гкал/м²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 и ТСЖ ОКК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м³/чел.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 и ТСЖ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м³/чел.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15,17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15,16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 и ТСЖ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кВт*ч/м²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 и ТСЖ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3.14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потерь воды при ее передаче в общем объеме переданной воды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кВт*ч/куб.м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11.02.2021 № 161.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замены светильников на светодиодные, расположенных на улично-дорожной сети города Нефтеюганска (не менее 75% от общего количества)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администрации города Нефтеюганска от 24.05.2024 №1024-п</w:t>
            </w:r>
          </w:p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08"/>
        </w:trPr>
        <w:tc>
          <w:tcPr>
            <w:tcW w:w="16295" w:type="dxa"/>
            <w:gridSpan w:val="16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Цель 4 «Повышение качества условий проживания населения за счет формирования благоприятной среды проживания граждан»</w:t>
            </w: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земель общего пользования, подлежащая содержанию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м2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1 977,73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1 977,73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2 275, 83753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2 275, 83753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2 275, 83753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2 275, 83753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Ст.45.1 ФЗ от 06.10.2003 № 131-ФЗ «Об общих принципах организации местного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земель общего пользования, подлежащая содержанию в зимний период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м2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591,56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1 151,650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1 836,83759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1 836,83759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1 836,83759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1 836,83759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Ст.45.1 ФЗ от 06.10.2003 № 131-ФЗ «Об общих принципах организации местного 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отловленных безнадзорных животных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215 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Закон ХМАО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– Югры от 10.12.2019 №89-оз «О наделении органов местного самоуправления муниципальных образований ХМАО-Югры отдельным государственным полномочием ХМАО-Югры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Содержание животных, оставленных в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приюте на пожизненном содержании, находящихся в муниципальной собственности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231 Гражданского кодекса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(часть первая)» от 30.11.1994 N 51-ФЗ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4.5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тонн.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7 200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92,30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92,30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92,30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пп.11,24 п.1 ст.16 ФЗ от 06.10.2003 № 131-ФЗ «Об общих принципах организации местного самоуправления в РФ». 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проведенной дезинфекции, дератизации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м2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4 815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4 815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4 815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4 815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Закон ХМАО-Югры от 23.12.2016 №102-оз «О наделении органов местного самоуправления муниципальных образований ханты-мансийского автономного округа – югры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отдельными государственными полномочиями по организации осуществления мероприятий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 проведению дезинсекции и дератизации в Ханты-мансийском автономном округе – Югре»</w:t>
            </w:r>
          </w:p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4.7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надлежащего содержания модульных туалетов на территории города Нефтеюганска (не менее 100% от предусмотренных регламентом работ)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п.11, п.15 ст.16 ФЗ от 06.10.2003 № 131-ФЗ «Об общих принципах организации местного самоуправления в РФ». 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Санитарная очистка береговой линии от мусора в границах города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– Югры от 10.11.2023 №566-п «О государственной программе Ханты-Мансийского автономного круга – Югры «Экологическая безопасность»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отремонтированных детских игровых площадок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Ст.45.1 ФЗ от 06.10.2003 № 131-ФЗ «Об общих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принципах организации местного 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4.10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отремонтированных спортивных площадок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Ст.45.1 ФЗ от 06.10.2003 № 131-ФЗ «Об общих принципах организации местного 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покрытия пешеходных дорожек, тротуаров (в т.ч., ремонт)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279,54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Ст.45.1 ФЗ от 06.10.2003 № 131-ФЗ «Об общих принципах организации местного 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асфальтобетонного покрытия проездов (в т.ч. ремонт)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166,372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Ст.45.1 ФЗ от 06.10.2003 № 131-ФЗ «Об общих принципах организации местного 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установленных детских игровых площадок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Ст.45.1 ФЗ от 06.10.2003 № 131-ФЗ «Об общих принципах организации местного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4.14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установленных спортивных площадок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Ст.45.1 ФЗ от 06.10.2003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131-ФЗ «Об общих принципах организации местного 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высаженных деревьев и кустарников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10/300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310/300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45/10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30/860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30/860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30/860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Ст.45.1 ФЗ от 06.10.2003 № 131-ФЗ «Об общих принципах организации местного 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Процент горения (не менее 95%) от всех объектов уличного, дворового освещения и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иллюминации в городе Нефтеюганске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п.4 ст.16 ФЗ от 06.10.2003 № 131-ФЗ «Об общих принципах организации местного самоуправления в РФ». 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ДЖКХ 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 площадь восстановленных, в том числе рекультивированных земель подверженных негативному воздействию накопленного вреда окружающей среде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Указ президента РФ от 07 мая 2024 года № 309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 национальных целях развития РФ на период до 2030 года и на перспективу до 2036 года»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4.18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благоустроенных дворовых и общественных территорий 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НП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Указ президента РФ от 07 мая 2024 года № 309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 национальных целях развития РФ на период до 2030 года и на перспективу до 2036 года»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</w:t>
            </w:r>
          </w:p>
          <w:p w:rsidR="00A55884" w:rsidRDefault="0084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Ст.45.1 ФЗ от 06.10.2003 № 131-ФЗ «Об общих принципах организации местного самоуправления в РФ»,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ХМАО-Югры от 10.11.2023 № 553-п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Национальный проект «Инфраструктура для жизни»</w:t>
            </w: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по созданию комфортной городской среды</w:t>
            </w:r>
          </w:p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НП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Указ президента РФ от 07 мая 2024 года № 309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 национальных целях развития РФ на период до 2030 года и на перспективу до 2036 года»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Национальный проект «Инфраструктура для жизни»</w:t>
            </w: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4.20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установленных контейнерных площадок на территории города Нефтеюганска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Ст.45.1 ФЗ от 06.10.2003 № 131-ФЗ «Об общих принципах организации местного 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приобретенных и установленных бетонных ограждений (полусфер)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Ст.45.1 ФЗ от 06.10.2003 № 131-ФЗ «Об общих принципах организации местного 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 у получателя субсидии проектно-изыск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ательской работы по рекультивации объекта «Полигон по обезвреживанию твердых бытовых отходов, расположенного по адресу: ХМАО – Югра, Нефтеюганский район, правая сторона 24 км автодороги государственной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экологической экспертизы и сметно-ценовой документации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Наличие/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отсутствие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06.10.2003 № 131-ФЗ «Об общих принципах организации местного 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4.23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Дезинсекция и дератизация контейнерных площадок для накопления ТКО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</w:t>
            </w:r>
          </w:p>
          <w:p w:rsidR="00A55884" w:rsidRDefault="0084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Ст.45.1 ФЗ от 06.10.2003 № 131-ФЗ «Об общих принципах организации местного 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4.24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Приобретение и установка урн для мусора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Ст.45.1 ФЗ от 06.10.2003 № 131-ФЗ «Об общих принципах организации местного 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4.25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Приобретение контейнеров для накопления ТКО 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Ст.45.1 ФЗ от 06.10.2003 № 131-ФЗ «Об общих принципах организации местного 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4.26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Устройство ледовых городков 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Ст.45.1 ФЗ от 06.10.2003 № 131-ФЗ «Об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общих принципах организации местного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самоуправления в РФ».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4.27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контейнеров/бункеров для накопления ТКО подлежащих промывке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731/8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</w:t>
            </w:r>
          </w:p>
          <w:p w:rsidR="00A55884" w:rsidRDefault="0084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Ст.45.1 ФЗ от 06.10.2003 № 131-ФЗ «Об общих принципах организации местного самоуправления в РФ»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16295" w:type="dxa"/>
            <w:gridSpan w:val="16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Цель 5 «Обеспечение реализации муниципальной программы»</w:t>
            </w: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Удовлетворенность населения деятельностью органов местного самоуправления (процентов от числа опрошенных) (по сферам деятельности)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ВДЛ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Распоряжение Правительства ХМАО – Югры от 15.03.2013 N 92-рп </w:t>
            </w:r>
          </w:p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08"/>
        </w:trPr>
        <w:tc>
          <w:tcPr>
            <w:tcW w:w="16295" w:type="dxa"/>
            <w:gridSpan w:val="16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Цель 6 «Обеспечение надежности и качества поставки коммунальных ресурсов»</w:t>
            </w: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замены ветхих инженерных сетей теплоснабжения, водоснабжения, водоотведения от общей протяженности ветхих инженерных сетей теплоснабжения,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водоснабжения, водоотведения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ГП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ХМАО-Югры от 10.11.2023 № 561-п</w:t>
            </w:r>
          </w:p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ХМАО-Югры от 20.01.2023 №27-п</w:t>
            </w:r>
          </w:p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6.2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Выполнение капитального ремонта объектов централизованных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систем водоснабжения и водоотведения, предусмотренных к реализации планом мероприятий по капитальному ремонту (100% по каждому мероприятию)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ХМАО-Югры от 10.11.2023 № 561-п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ХМАО-Югры от 10.11.2023 № 561-п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415"/>
        </w:trPr>
        <w:tc>
          <w:tcPr>
            <w:tcW w:w="16295" w:type="dxa"/>
            <w:gridSpan w:val="16"/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Цель 7 «Эффективное осуществление использования, защиты, охраны и обустройства городских лесов, а также создание условия для безопасного отдыха населения»</w:t>
            </w:r>
          </w:p>
        </w:tc>
      </w:tr>
      <w:tr w:rsidR="00A55884">
        <w:trPr>
          <w:trHeight w:val="415"/>
        </w:trPr>
        <w:tc>
          <w:tcPr>
            <w:tcW w:w="704" w:type="dxa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126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минерализованной полосы</w:t>
            </w:r>
          </w:p>
        </w:tc>
        <w:tc>
          <w:tcPr>
            <w:tcW w:w="992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1135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Решение думы города Нефтеюганска от 23.12.2013 №727 «Об утверждении Правил благоустройства территории муниципального образования город Нефтеюганск»</w:t>
            </w:r>
          </w:p>
        </w:tc>
        <w:tc>
          <w:tcPr>
            <w:tcW w:w="992" w:type="dxa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5884" w:rsidRDefault="00A55884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884" w:rsidRDefault="00A55884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884" w:rsidRDefault="00A55884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884" w:rsidRDefault="00A55884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884" w:rsidRDefault="00A55884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884" w:rsidRDefault="00A55884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884" w:rsidRDefault="00A55884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884" w:rsidRDefault="00A55884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884" w:rsidRDefault="00A55884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55884" w:rsidRDefault="00A55884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55884" w:rsidRDefault="00A55884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55884" w:rsidRDefault="00A55884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55884" w:rsidRDefault="00A55884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A55884" w:rsidRDefault="00840B4C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</w:t>
      </w:r>
    </w:p>
    <w:p w:rsidR="00A55884" w:rsidRDefault="00840B4C">
      <w:pPr>
        <w:widowControl w:val="0"/>
        <w:spacing w:after="0" w:line="240" w:lineRule="auto"/>
        <w:ind w:left="6379" w:firstLine="142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A55884" w:rsidRDefault="00840B4C">
      <w:pPr>
        <w:widowControl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A55884" w:rsidRDefault="00840B4C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10.11.2025 № 1174-п</w:t>
      </w:r>
    </w:p>
    <w:p w:rsidR="00A55884" w:rsidRDefault="00A55884">
      <w:pPr>
        <w:spacing w:after="0" w:line="240" w:lineRule="auto"/>
        <w:ind w:right="-31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55884" w:rsidRDefault="00840B4C">
      <w:pPr>
        <w:spacing w:after="0" w:line="240" w:lineRule="auto"/>
        <w:ind w:right="-31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4</w:t>
      </w:r>
    </w:p>
    <w:p w:rsidR="00A55884" w:rsidRDefault="00840B4C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достижения показателей муниципальной программы в 2025 году</w:t>
      </w:r>
    </w:p>
    <w:p w:rsidR="00A55884" w:rsidRDefault="00A5588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9"/>
        <w:gridCol w:w="3700"/>
        <w:gridCol w:w="1205"/>
        <w:gridCol w:w="1353"/>
        <w:gridCol w:w="542"/>
        <w:gridCol w:w="542"/>
        <w:gridCol w:w="542"/>
        <w:gridCol w:w="542"/>
        <w:gridCol w:w="542"/>
        <w:gridCol w:w="557"/>
        <w:gridCol w:w="551"/>
        <w:gridCol w:w="542"/>
        <w:gridCol w:w="593"/>
        <w:gridCol w:w="566"/>
        <w:gridCol w:w="609"/>
        <w:gridCol w:w="2204"/>
      </w:tblGrid>
      <w:tr w:rsidR="00A55884">
        <w:trPr>
          <w:trHeight w:val="349"/>
          <w:tblHeader/>
        </w:trPr>
        <w:tc>
          <w:tcPr>
            <w:tcW w:w="181" w:type="pct"/>
            <w:vMerge w:val="restart"/>
            <w:vAlign w:val="center"/>
          </w:tcPr>
          <w:p w:rsidR="00A55884" w:rsidRDefault="00840B4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1222" w:type="pct"/>
            <w:vMerge w:val="restar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Цели/показатели</w:t>
            </w:r>
          </w:p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муниципальной программы</w:t>
            </w:r>
          </w:p>
        </w:tc>
        <w:tc>
          <w:tcPr>
            <w:tcW w:w="398" w:type="pct"/>
            <w:vMerge w:val="restar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Уровень показателя</w:t>
            </w:r>
          </w:p>
        </w:tc>
        <w:tc>
          <w:tcPr>
            <w:tcW w:w="447" w:type="pct"/>
            <w:vMerge w:val="restar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Единица измерения</w:t>
            </w:r>
          </w:p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(по ОКЕИ)</w:t>
            </w:r>
          </w:p>
        </w:tc>
        <w:tc>
          <w:tcPr>
            <w:tcW w:w="2024" w:type="pct"/>
            <w:gridSpan w:val="11"/>
            <w:vAlign w:val="center"/>
          </w:tcPr>
          <w:p w:rsidR="00A55884" w:rsidRDefault="00840B4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Плановые значения по месяцам</w:t>
            </w:r>
          </w:p>
        </w:tc>
        <w:tc>
          <w:tcPr>
            <w:tcW w:w="728" w:type="pct"/>
            <w:vMerge w:val="restar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На конец 2025 года</w:t>
            </w:r>
          </w:p>
        </w:tc>
      </w:tr>
      <w:tr w:rsidR="00A55884">
        <w:trPr>
          <w:trHeight w:val="661"/>
          <w:tblHeader/>
        </w:trPr>
        <w:tc>
          <w:tcPr>
            <w:tcW w:w="181" w:type="pct"/>
            <w:vMerge/>
            <w:vAlign w:val="center"/>
          </w:tcPr>
          <w:p w:rsidR="00A55884" w:rsidRDefault="00A55884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22" w:type="pct"/>
            <w:vMerge/>
            <w:vAlign w:val="center"/>
          </w:tcPr>
          <w:p w:rsidR="00A55884" w:rsidRDefault="00A55884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A55884" w:rsidRDefault="00A55884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47" w:type="pct"/>
            <w:vMerge/>
            <w:vAlign w:val="center"/>
          </w:tcPr>
          <w:p w:rsidR="00A55884" w:rsidRDefault="00A55884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Янв.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Фев.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Март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Апр.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Май</w:t>
            </w:r>
          </w:p>
        </w:tc>
        <w:tc>
          <w:tcPr>
            <w:tcW w:w="184" w:type="pct"/>
            <w:vAlign w:val="center"/>
          </w:tcPr>
          <w:p w:rsidR="00A55884" w:rsidRDefault="00840B4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Июнь</w:t>
            </w:r>
          </w:p>
        </w:tc>
        <w:tc>
          <w:tcPr>
            <w:tcW w:w="182" w:type="pct"/>
            <w:vAlign w:val="center"/>
          </w:tcPr>
          <w:p w:rsidR="00A55884" w:rsidRDefault="00840B4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Июль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Авг.</w:t>
            </w:r>
          </w:p>
        </w:tc>
        <w:tc>
          <w:tcPr>
            <w:tcW w:w="196" w:type="pct"/>
            <w:vAlign w:val="center"/>
          </w:tcPr>
          <w:p w:rsidR="00A55884" w:rsidRDefault="00840B4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Сен.</w:t>
            </w:r>
          </w:p>
        </w:tc>
        <w:tc>
          <w:tcPr>
            <w:tcW w:w="187" w:type="pct"/>
            <w:vAlign w:val="center"/>
          </w:tcPr>
          <w:p w:rsidR="00A55884" w:rsidRDefault="00840B4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Окт.</w:t>
            </w:r>
          </w:p>
        </w:tc>
        <w:tc>
          <w:tcPr>
            <w:tcW w:w="201" w:type="pct"/>
            <w:vAlign w:val="center"/>
          </w:tcPr>
          <w:p w:rsidR="00A55884" w:rsidRDefault="00840B4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Ноя.</w:t>
            </w:r>
          </w:p>
        </w:tc>
        <w:tc>
          <w:tcPr>
            <w:tcW w:w="728" w:type="pct"/>
            <w:vMerge/>
            <w:vAlign w:val="center"/>
          </w:tcPr>
          <w:p w:rsidR="00A55884" w:rsidRDefault="00A55884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4819" w:type="pct"/>
            <w:gridSpan w:val="15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надежности и качества предоставления жилищно-коммунальных услуг и развития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Количество реконструированных объектов коммунального значения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Процент обеспечения помывок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льготных категорий граждан (не менее 100%) от всех обратившихся за м ерами социальной поддержки в виде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льготного пользования услугами городской бани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4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2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6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01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1.3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Обеспечение вывоза бытовых сточных вод от многоквартирных жилых домов, подключенных к централизованной системе водоснабжения, оборудованных внутридомовой системой водоотведения и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 подключенных к сетям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централизованной системы водоотведения на территори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 города Нефтеюганска (не менее 100% домов от количества домов, предусмотренных графиком откачки и вывоза бытовых сточных вод).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4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2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6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01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1.4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Увеличение протяженности построенных сетей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метр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608</w:t>
            </w:r>
          </w:p>
        </w:tc>
      </w:tr>
      <w:tr w:rsidR="00A55884">
        <w:trPr>
          <w:trHeight w:val="945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1.5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Обеспечение бесперебойной работы объекта «Фильтровальная станция»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4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2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6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01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55884">
        <w:trPr>
          <w:trHeight w:val="279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отсутствия просроченной (два и более месяцев) задолженности за потребленный топливно-энергический ресурс, да/нет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Да/нет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</w:tr>
      <w:tr w:rsidR="00A55884">
        <w:trPr>
          <w:trHeight w:val="279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дизельным топливом котельных, при условии перевода котлов на резервный вид топлива, не менее 100% от потребности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55884">
        <w:trPr>
          <w:trHeight w:val="491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4819" w:type="pct"/>
            <w:gridSpan w:val="15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Повышение доступности и качества жилищных услуг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Количество отремонтированных жилых помещений муниципального жилищного фонда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98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2.2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выполнения минимального перечня услуг и работ, необходимых для обеспечения надлежащего содержания общего имущества в многоквартирном доме (не менее 100%) от работ и услуг, предусмотренных договором (управления или содержания)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2.3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Исполнение запланированных работ по проведению капитального ремонта в МКД вследствие возникновения неотложной необходимости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</w:t>
            </w:r>
          </w:p>
        </w:tc>
        <w:tc>
          <w:tcPr>
            <w:tcW w:w="4819" w:type="pct"/>
            <w:gridSpan w:val="15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Энергосбережение 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3.2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Доля объема тепловой энергии, расчеты за которую осуществляются с использованием приборов учета, в общем объеме тепловой</w:t>
            </w:r>
            <w:r>
              <w:t xml:space="preserve"> </w:t>
            </w:r>
            <w:r>
              <w:rPr>
                <w:rFonts w:ascii="Times New Roman" w:eastAsia="Batang" w:hAnsi="Times New Roman" w:cs="Times New Roman"/>
                <w:lang w:eastAsia="ko-KR"/>
              </w:rPr>
              <w:t xml:space="preserve">энергии, потребляемой (используемой) на </w:t>
            </w:r>
            <w:r>
              <w:rPr>
                <w:rFonts w:ascii="Times New Roman" w:eastAsia="Batang" w:hAnsi="Times New Roman" w:cs="Times New Roman"/>
                <w:lang w:eastAsia="ko-KR"/>
              </w:rPr>
              <w:lastRenderedPageBreak/>
              <w:t>территории муниципального образования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3.3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 xml:space="preserve">Доля объема холодной воды, расчеты за которую осуществляются с использованием приборов учета, в общем объеме воды,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потребляемой (используемой) на территории муниципального образования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95,0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3.4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86,0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3.5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97,5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3.6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кВт*ч/м²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46,0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3.7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 xml:space="preserve">Удельный расход тепловой энергии на </w:t>
            </w:r>
          </w:p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 xml:space="preserve">снабжение органов местного самоуправления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и муниципальных учреждений (в расчете на 1 кв. метр общей площади)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Гкал/м²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0,22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3.8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холодной воды на снабжение органов местного самоуправления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и муниципальных учреждений (в расчете на 1 человека)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м³/чел.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4,73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3.9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м³/чел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0,66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3.10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Гкал/м²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0,30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3.11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м³/чел.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30,5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3.12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м³/чел.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15,10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3.13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кВт*ч/м²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40,7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3.14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9,30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3.15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потерь воды при ее передаче в общем объеме переданной воды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13,1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3.16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кВт*ч/куб.м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0,32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3.17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Доля замены светильников на светодиодные, расположенных на улично-дорожной сети города Нефтеюганска (не менее 75% от общего количества)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75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</w:t>
            </w:r>
          </w:p>
        </w:tc>
        <w:tc>
          <w:tcPr>
            <w:tcW w:w="4819" w:type="pct"/>
            <w:gridSpan w:val="15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Повышение качества условий проживания населения за счет формирования благоприятной среды проживания граждан</w:t>
            </w:r>
          </w:p>
        </w:tc>
      </w:tr>
      <w:tr w:rsidR="00A55884">
        <w:trPr>
          <w:trHeight w:val="570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Площадь земель общего пользования, подлежащая содержанию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тыс. м2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84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82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96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8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201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2 275,83753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4.2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Площадь земель общего пользования, подлежащая содержанию в зимний период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тыс. м2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1 836,83759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1 836,83759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1 836,83759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1 836,83759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1 836,83759</w:t>
            </w:r>
          </w:p>
        </w:tc>
        <w:tc>
          <w:tcPr>
            <w:tcW w:w="201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1 836,83759</w:t>
            </w: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1 836,83759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4.3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Количество отловленных безнадзорных животных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130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4.4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Содержание животных, оставленных в приюте на пожизненном содержании, находящихся в муниципальной собственности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226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230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234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238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242</w:t>
            </w:r>
          </w:p>
        </w:tc>
        <w:tc>
          <w:tcPr>
            <w:tcW w:w="184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246</w:t>
            </w:r>
          </w:p>
        </w:tc>
        <w:tc>
          <w:tcPr>
            <w:tcW w:w="182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250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254</w:t>
            </w:r>
          </w:p>
        </w:tc>
        <w:tc>
          <w:tcPr>
            <w:tcW w:w="196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258</w:t>
            </w:r>
          </w:p>
        </w:tc>
        <w:tc>
          <w:tcPr>
            <w:tcW w:w="18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262</w:t>
            </w:r>
          </w:p>
        </w:tc>
        <w:tc>
          <w:tcPr>
            <w:tcW w:w="201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266</w:t>
            </w: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270 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4.5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Площадь проведенной дезинфекции, дератизации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тыс. м2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4 815</w:t>
            </w:r>
          </w:p>
        </w:tc>
        <w:tc>
          <w:tcPr>
            <w:tcW w:w="184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4 815</w:t>
            </w: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4 815</w:t>
            </w: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4 815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4.6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надлежащего содержания модульных туалетов на территории города Нефтеюганска (не менее 100% от предусмотренных регламентом работ)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4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2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6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01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4.7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Санитарная очистка береговой линии от мусора в границах города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км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25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4.8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Количество высаженных деревьев и кустарников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45/0</w:t>
            </w: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0/</w:t>
            </w:r>
          </w:p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45/10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4.9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Процент горения (не менее 95%) от всех объектов уличного, дворового освещения и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иллюминации в городе Нефтеюганске, находящихся на обслуживании получателя субсидии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95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4.10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Дезинсекция и дератизация контейнерных площадок для накопления ТКО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(ежемесячно)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84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82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96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18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201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739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4.11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Устройство покрытия пешеходных дорожек, тротуаров (в т.ч., ремонт)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м2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1 050</w:t>
            </w: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1 050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4.12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Количество благоустроенных дворовых и общественных территорий</w:t>
            </w:r>
          </w:p>
        </w:tc>
        <w:tc>
          <w:tcPr>
            <w:tcW w:w="398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НП</w:t>
            </w: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4.13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Ликвидация несанкционированных свалок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тонн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1 200</w:t>
            </w:r>
          </w:p>
        </w:tc>
        <w:tc>
          <w:tcPr>
            <w:tcW w:w="184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1 200</w:t>
            </w:r>
          </w:p>
        </w:tc>
        <w:tc>
          <w:tcPr>
            <w:tcW w:w="182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1 200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1 200</w:t>
            </w:r>
          </w:p>
        </w:tc>
        <w:tc>
          <w:tcPr>
            <w:tcW w:w="196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1 200</w:t>
            </w:r>
          </w:p>
        </w:tc>
        <w:tc>
          <w:tcPr>
            <w:tcW w:w="18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1 200</w:t>
            </w: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7 200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4.14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 созданию комфортной городской среды</w:t>
            </w:r>
          </w:p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8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</w:t>
            </w: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35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4.15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Устройство ледовых городков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4.16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Количество отремонтированных спортивных площадок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4.17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Количество контейнеров/бункеров для накопления ТКО подлежащих промывке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184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182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179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196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18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201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731/8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4.18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Количество отремонтированных детских игровых площадок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4.19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Устройство асфальтобетонного покрытия проездов (в т.ч. ремонт)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м2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166,372</w:t>
            </w: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166,372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4.20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Количество установленных детских игровых площадок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4.21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Количество установленных контейнерных площадок на территории города Нефтеюганска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</w:t>
            </w:r>
          </w:p>
        </w:tc>
        <w:tc>
          <w:tcPr>
            <w:tcW w:w="4819" w:type="pct"/>
            <w:gridSpan w:val="15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реализации муниципальной программы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5.1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Удовлетворенность населения деятельностью органов местного самоуправления (процентов от числа опрошенных) (по сферам деятельности)</w:t>
            </w:r>
          </w:p>
        </w:tc>
        <w:tc>
          <w:tcPr>
            <w:tcW w:w="398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ВДЛ</w:t>
            </w: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65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6.</w:t>
            </w:r>
          </w:p>
        </w:tc>
        <w:tc>
          <w:tcPr>
            <w:tcW w:w="4819" w:type="pct"/>
            <w:gridSpan w:val="15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надежности и качества поставки коммунальных ресурсов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6.1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398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ГП</w:t>
            </w: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2,9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6.2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Выполнение капитального ремонта объектов централизованных систем водоснабжения и водоотведения, предусмотренных к реализации планом мероприятий по капитальному ремонту (100% по каждому мероприятию)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55884">
        <w:trPr>
          <w:trHeight w:val="386"/>
        </w:trPr>
        <w:tc>
          <w:tcPr>
            <w:tcW w:w="181" w:type="pct"/>
            <w:vAlign w:val="center"/>
          </w:tcPr>
          <w:p w:rsidR="00A55884" w:rsidRDefault="00840B4C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6.3</w:t>
            </w:r>
          </w:p>
        </w:tc>
        <w:tc>
          <w:tcPr>
            <w:tcW w:w="1222" w:type="pct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Доля населения, обеспеченного качественной питьевой водой из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систем централизованного водоснабжения </w:t>
            </w:r>
          </w:p>
        </w:tc>
        <w:tc>
          <w:tcPr>
            <w:tcW w:w="398" w:type="pct"/>
            <w:vAlign w:val="center"/>
          </w:tcPr>
          <w:p w:rsidR="00A55884" w:rsidRDefault="00A55884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A55884" w:rsidRDefault="00A5588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</w:tbl>
    <w:p w:rsidR="00A55884" w:rsidRDefault="00A5588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5884" w:rsidRDefault="00A5588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5884" w:rsidRDefault="00A5588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5884" w:rsidRDefault="00A5588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5884" w:rsidRDefault="00A5588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5884" w:rsidRDefault="00A5588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5884" w:rsidRDefault="00A5588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5884" w:rsidRDefault="00A5588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5884" w:rsidRDefault="00840B4C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</w:t>
      </w:r>
    </w:p>
    <w:p w:rsidR="00A55884" w:rsidRDefault="00840B4C">
      <w:pPr>
        <w:widowControl w:val="0"/>
        <w:spacing w:after="0" w:line="240" w:lineRule="auto"/>
        <w:ind w:left="6379" w:firstLine="142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A55884" w:rsidRDefault="00840B4C">
      <w:pPr>
        <w:widowControl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A55884" w:rsidRDefault="00840B4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10.11.2025 № 1174-п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A55884" w:rsidRDefault="00A5588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A55884" w:rsidRDefault="00840B4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5</w:t>
      </w:r>
    </w:p>
    <w:p w:rsidR="00A55884" w:rsidRDefault="00840B4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Структура муниципальной программы</w:t>
      </w:r>
    </w:p>
    <w:p w:rsidR="00A55884" w:rsidRDefault="00A55884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15165" w:type="dxa"/>
        <w:tblLayout w:type="fixed"/>
        <w:tblLook w:val="01E0" w:firstRow="1" w:lastRow="1" w:firstColumn="1" w:lastColumn="1" w:noHBand="0" w:noVBand="0"/>
      </w:tblPr>
      <w:tblGrid>
        <w:gridCol w:w="899"/>
        <w:gridCol w:w="4203"/>
        <w:gridCol w:w="5386"/>
        <w:gridCol w:w="4677"/>
      </w:tblGrid>
      <w:tr w:rsidR="00A55884">
        <w:trPr>
          <w:trHeight w:val="49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A55884">
        <w:trPr>
          <w:trHeight w:val="27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55884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1 «Создание условий для обеспечения качественными коммунальными услугами»</w:t>
            </w:r>
          </w:p>
        </w:tc>
      </w:tr>
      <w:tr w:rsidR="00A55884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Региональный проект «Создание (реконструкция) коммунальных объектов»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Яганов Руслан Муратович</w:t>
            </w:r>
          </w:p>
        </w:tc>
      </w:tr>
      <w:tr w:rsidR="00A55884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Департамент градостроительства и земельных отношений администрации города 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(2024-2025)</w:t>
            </w:r>
          </w:p>
        </w:tc>
      </w:tr>
      <w:tr w:rsidR="00A55884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Задача №1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надежности и качества предоставления жилищно-коммунальных услуг и развития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1.Количество реконструированных объектов коммунального значения</w:t>
            </w:r>
          </w:p>
        </w:tc>
      </w:tr>
      <w:tr w:rsidR="00A55884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Региональный проект «Ч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истая вода»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Яганов Руслан Муратович</w:t>
            </w:r>
          </w:p>
        </w:tc>
      </w:tr>
      <w:tr w:rsidR="00A55884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Департамент градостроительства и земельных отношений администрации города 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(2024)</w:t>
            </w:r>
          </w:p>
        </w:tc>
      </w:tr>
      <w:tr w:rsidR="00A55884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Повышение эффективности, качества и надежности поставки коммунальных ресурсов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надежности и качества строительства реконструкции (модернизации) систем водоотведения и водоподготовки с использованием перспективных технологий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</w:tr>
      <w:tr w:rsidR="00A55884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«Реконструкция, расширение, модернизация, строительство коммунальных объектов, в том числе объектов питьевого водоснабжения»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Яганов Руслан Муратович</w:t>
            </w:r>
          </w:p>
        </w:tc>
      </w:tr>
      <w:tr w:rsidR="00A55884">
        <w:trPr>
          <w:trHeight w:val="34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градостроительства и земельных отношений администрации города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5884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Повышение эффективности, качества и надежности поставки коммунальных ресурсов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надежности и качества предоставления жилищно-коммунальных услуг и развития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1.Обеспечение газоснабжением территории города Нефтеюганска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 Увеличение протяженности построенных сетей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«Предоставление субсидий организациям коммунального комплекса, предоставляющим коммунальные услуги населению»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атор: Яганов Руслан Муратович</w:t>
            </w:r>
          </w:p>
        </w:tc>
      </w:tr>
      <w:tr w:rsidR="00A55884">
        <w:trPr>
          <w:trHeight w:val="51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5884">
        <w:trPr>
          <w:trHeight w:val="108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Повышение эффективности, качества и надежности поставки коммунальных ресурсов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надежности и качества предоставления жилищно-коммунальных услуг и развития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Обеспечение вывоза бытовых сточных вод от многоквартирных жилых домов, подключенных к централизованной системе водоснабжения, оборудованных внутридомовой системой вод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оотведения и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не подключенных к сетям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централизованной системы водоотведения на территории города Нефтеюганска (не менее 100% домов от количества домов, предусмотренных графиком откачки и вывоза бытовых сточных вод.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 Обеспечение бесперебойной работы объ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екта «Фильтровальная станция»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 Обеспечение отсутствия просроченной (два и более месяцев) задолженности за потребленный топливно-энергический ресурс, да/нет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. Обеспечение дизельным топливом котельных, при условии перевода котлов на резервный вид топлива, не менее 100% от потребности</w:t>
            </w:r>
          </w:p>
        </w:tc>
      </w:tr>
      <w:tr w:rsidR="00A55884">
        <w:trPr>
          <w:trHeight w:val="19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Задача №2 Обеспечение предоставления мер социальной поддержки для отдельных категорий граждан, пользующихся услугами городской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бани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Процент обеспечения помывок льготных категорий граждан (не менее 100%) от всех обратившихся за мерами социальной поддержки в виде льготного пользования услугами городской бани</w:t>
            </w:r>
          </w:p>
        </w:tc>
      </w:tr>
      <w:tr w:rsidR="00A55884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«Создание условий для обеспечения доступности и повышения качества жилищных услуг»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«Поддержка технического состояния жилищного фонда»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Яганов Руслан Муратович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жилищно-коммунального хозяйства администрации города, Департамент муниципального имущества администрации города 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5884">
        <w:trPr>
          <w:trHeight w:val="136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Обновление жилищного фонда, улучшение технического состояния жилых помещений, снижения количества аварийных и непригодных для пр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оживания многоквартирных жилых домов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доступности и качества жилищных услуг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1.Обеспечение выполнения минимального перечня услуг и работ, необходимых для обеспечения надлежащего содержания общего имущества в многоквартирном доме (не менее 100%) от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 и услуг, предусмотренных договором (управления или содержания).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2.Исполнение запланированных работ по проведению капитального ремонта в МКД вследствие возникновения неотложной необходимости.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Количество отремонтированных жилых помещений муниципальн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 жилого фонда.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№2 Взаимодействие с собственниками помещений в многоквартирных домах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а также Югорским фондом капитального ремонта многоквартирных домов, в целях эффективного проведения капитального ремонта общего имущества многоквартирных домов за счет средств собственников и различных механизмов государственной и муниципальной поддержки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3 «Повышение энергоэффективности в отраслях экономики»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«Реализация энергосберегающих мероприятий в муниципальном секторе»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Яганов Руслан Муратович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Департамент по делам администрации </w:t>
            </w:r>
          </w:p>
          <w:p w:rsidR="00A55884" w:rsidRDefault="00840B4C">
            <w:pPr>
              <w:spacing w:after="0" w:line="240" w:lineRule="auto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 комитет физической культуры и спорта администрации города,</w:t>
            </w:r>
            <w:r>
              <w:t xml:space="preserve">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комитет культуры и туризма администрации города,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города, Департамент муниципальног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имущества администрации города, Департамент жилищно-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коммунального хозяйства администрации города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A55884">
        <w:trPr>
          <w:trHeight w:val="88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Снижение потребления энергетических ресурсов и повышение энергоэффективности в муниципальном секторе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энергосберегающих мероприятий муниципальными бюджетными организациями, организациями коммунального комплекса и управляющими организациями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1.Доля объема электрической энергии, расчеты за которую осуществляются с использованием приборов учета, в 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бщем объеме электрической энергии, потребляемой (используемой) на территории муниципального образования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ьзуемой) на территории муниципального образования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объема холодной воды, расчеты за которую осуществляются с использованием приборов учета, в общем объеме воды,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потребляемой (используемой) на территории муниципального образования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гор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 учета, в общем объеме природного газа, потребляемого (используемого) на территории муниципального образования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 площади)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Удельный расход тепловой энергии на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снабжение органов местного самоуправления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муниципальных учреждений (в расчете на 1 кв. метр общей площади)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холодной воды на снабжение органов местного самоуправления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муниципальных 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чреждений (в расчете на 1 человека)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884">
        <w:trPr>
          <w:trHeight w:val="45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«Реализация энергосберегающих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мероприятий в системах наружного освещения и коммунальной инфраструктуры»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Яганов Руслан Муратович</w:t>
            </w:r>
          </w:p>
        </w:tc>
      </w:tr>
      <w:tr w:rsidR="00A55884">
        <w:trPr>
          <w:trHeight w:val="53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Организации коммунального комплекса;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5884">
        <w:trPr>
          <w:trHeight w:val="88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Снижение потребления энергети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ческих ресурсов и повышение энергоэффективности в коммунальной инфраструктуре города Нефтеюганска</w:t>
            </w:r>
          </w:p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Реализация энергосберегающих мероприятий в коммунальной инфраструктуре</w:t>
            </w:r>
          </w:p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потерь воды при ее передаче в общем объеме переданной воды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4.Доля объема электрической энергии, расчеты за которую осуществляются с использованием приборов учета, 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общем объеме электрической энергии, потребляемой (используемой) на территории муниципального образования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льзуемой) на территории муниципального образования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объема холодной воды, расчеты за которую осуществляются с использованием приборов учета, в общем объеме воды,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потребляемой (используемой) на территории муниципального образования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оров учета, в общем объеме природного газа, потребляемого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(используемого) на территории муниципального образования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 Доля замены светильников на светодиодные, расположенных на улично-дорожной сети города Нефтеюганска (не менее 75% от общего количества)</w:t>
            </w:r>
          </w:p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884">
        <w:trPr>
          <w:trHeight w:val="42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«Реализация энергосберегающих мероприятий в жилищном фонде»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Яганов Руслан Муратович</w:t>
            </w:r>
          </w:p>
        </w:tc>
      </w:tr>
      <w:tr w:rsidR="00A55884">
        <w:trPr>
          <w:trHeight w:val="88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Организации обслуживающие жилой фонд, НО «Югорский фонд капитального ремонта многоквартирных домов» (УКиТСЖ, РО)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5884">
        <w:trPr>
          <w:trHeight w:val="88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Снижение потребления энергетических ресурсов и повышение энергоэффективности в жилом фонде города Нефтеюганска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энергосберегающих мероприятий в жилищном фонде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тепловой энергии в многоквартирных домах (в расчете на 1 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в. метр общей площади)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холодной воды в многоквартирных домах (в расчете на 1 жителя)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горячей воды в многоквартирных домах (в расчете на 1 жителя)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 в многоквартирных домах (в расч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ете на 1 кв. метр общей площади)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ляются с использованием приборов учета, в общем объеме воды,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потребляемой (используемой) на территории муниципального образования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емой (используемой) на территории муниципального образования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ования</w:t>
            </w:r>
          </w:p>
          <w:p w:rsidR="00A55884" w:rsidRDefault="00A5588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4 «Формирование комфортной городской среды»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Региональный проект «Формирование комфортной городской среды» 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Яганов Руслан Муратович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города;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градостроительства и земельных отношений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Срок реализации (2024-2030) 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1 Обеспечение формирования единых подходов создания комфортной городской среды, разработка и внедрение универсальных механизмов вовлеченности заинтересованных гражда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н, организаций в реализацию мероприятий по благоустройству дворовых и общественных территорий, проведение мероприятий по благоустройству территорий в соответствии с едиными требованиями.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Повышение качества условий проживания населения за счет формирования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благоприятной среды проживания граждан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благоустроенных дворовых и общественных территорий 2.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льных образованиях, на территории которых реализуются проекты по созданию комфортной городской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2 Улучшение эстетического облика города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«Улучшение санитарного состояния городских территорий»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Куратор: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Яганов Руслан Муратович</w:t>
            </w:r>
          </w:p>
        </w:tc>
      </w:tr>
      <w:tr w:rsidR="00A55884">
        <w:trPr>
          <w:trHeight w:val="66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884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Создание условий для улучшения санитарного состояния городских территорий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качества условий проживания населения за счет формирования благоприятной среды проживания граждан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1.Количество отловленных безнадзорных животных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2.Ликвидация несанкционированных свалок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3.Площадь проведенной дезинфекции, дератизации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Площадь зем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ель общего пользования, подлежащая содержанию 5.Площадь земель общего пользования, подлежащая содержанию в зимний период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6.Санитарная очистка береговой линии от мусора в границах города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Обеспечение надлежащего содержания модульных туалетов на территории города Нефтеюганска (не менее 100% от предусмотренных регламентом работ)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8.Содержание животных, оставленных в приюте на пожизненном содержании, находящихся в муниципальной собственности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Количество установленных контейнерных площадок на территории города Нефтеюганска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10.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Наличие у получателя субсидии проектно-изыскательской работы по рекультивации объекта «Полигон по обезвреживанию твердых бытовых отходов, расположенного по адресу: ХМАО –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Югра, Нефтеюганский район, правая сторона 24 км автодороги государственной экологической экспертизы и сметно-ценовой документации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11. Дезинсекция и дератизация контейнерных площадок для накопления ТКО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12. Приобретение контейнеров для накопления ТКО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13. К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оличество контейнеров/бункеров для накопления ТКО подлежащих промывке</w:t>
            </w:r>
          </w:p>
        </w:tc>
      </w:tr>
      <w:tr w:rsidR="00A55884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№2 Улучшение эстетического облика города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«Благоустройство и озеленение города»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Яганов Руслан Муратович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жилищно-коммунального хозяйства администрации города;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5884">
        <w:trPr>
          <w:trHeight w:val="44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Улучшение эстетического облика города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качества условий проживания населения за счет формирования благоприятной среды проживания граждан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высаженных деревьев и кустарников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покрытия пешеходных дорожек, тротуаров (в т.ч., ремонт)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асфальтобетонног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покрытия проездов (в т.ч. ремонт)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4.Количество отремонтированных детских игровых площадок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5.Количество отремонтированных спортивных площадок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6.Количество установленных детских игровых площадок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 Количество установленных спортивных площадок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8.Процент 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рения (не менее 95%) от всех объектов уличного, дворового освещения и иллюминации в г. Нефтеюганске, находящихся на обслуживании получателя субсидии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Количество приобретенных и установленных бетонных ограждений (полусфер)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10.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Приобретение и установка урн для мусора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11.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благоустроенных дворовых и общественных территорий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12. Устройство ледовых городков</w:t>
            </w:r>
          </w:p>
        </w:tc>
      </w:tr>
      <w:tr w:rsidR="00A55884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Задача №2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формирования единых подходов создания комфортной городской среды, разработка и внедрение универсальных механизмов вовлеченности заинтересованных граждан, организаций в реализацию мероприятий по благоустройству дворовых и общественных территорий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проведение мероприятий по благоустройству территорий в соответствии с едиными требованиями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5.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5 «Обеспечение реализации муниципальной программы»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органов местного самоуправления города Нефтеюганска» 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Яганов Руслан Муратович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5884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Обеспечение достижения показателей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Осуществление функций по реал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изации единой государственной политики и нормативному правовому регулированию, оказанию муниципальных услуг в сфере жилищно-коммунального хозяйства, координация деятельности организаций жилищно-коммунального комплекса на территории муниципального образован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ия город Нефтеюганск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Удовлетворенность населения деятельностью органов местного самоуправления (процентов от числа опрошенных) (по сферам деятельности)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«Организационное обеспечение функционирования отрасли»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Куратор: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Яганов Руслан Муратович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Обеспечение достижения показателей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реализации МКУ КХ «Служба единого заказчика»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реализации МКУ «Реквием»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«Выполнение других обязательств муниципального образования»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Яганов Руслан Муратович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Задача №1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достижения показателей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Осуществление функций по реализации единой государственной политики и нормативному правовому регулированию, оказанию муниципальных услуг в сфере жилищно-коммунального хозяйства, координация деятель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ности организаций жилищно-коммунального комплекса на территории муниципального образования город Нефтеюганск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Удовлетворенность населения деятельностью органов местного самоуправления (процентов от числа опрошенных) (по сферам деятельности)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6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Региональный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роект «Модернизация коммунальной инфраструктуры» 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Куратор: Яганов Руслан Муратович</w:t>
            </w:r>
          </w:p>
        </w:tc>
      </w:tr>
      <w:tr w:rsidR="00A55884">
        <w:trPr>
          <w:trHeight w:val="33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Срок реализации (2025-2027) 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Задача № 1 удовлетворение потребности населения в качественных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коммунальных услугах;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Задача № 2 обеспечение качественной и надежной работы объектов коммунальной инфраструктуры; 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Задача № 3 снижение технологических потерь в инженерных сетях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Повышение качества и надежности предоставления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коммунальных услуг населению,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вышение надежности и эффективности эксплуатации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систем коммунальной инфраструктуры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я.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«Реализация полномочий в сфере жилищно- коммунального комплекса»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Яганов Руслан Муратович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 коммунального хозяйства администрации города;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 Нефтеюганска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5884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Привлечение долгосрочных частных инвестиций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Выполнение капитального ремонта объектов централизованных систем водоснабжения и водоотведения, предусмотре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нных к реализации планом мероприятий по капитальному ремонту (100% по каждому мероприятию)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2.Доля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водоотведения.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Доля населения, обеспеченного качественной питьевой водой из систем централиз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ованного водоснабжения</w:t>
            </w:r>
          </w:p>
        </w:tc>
      </w:tr>
      <w:tr w:rsidR="00A55884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№2 Увеличение сроков безремонтной эксплуатации инженерных сетей жилищно-коммунального комплекса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полномочий в сфере жилищно- коммунального комплекса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7 «Обустройство, использование, защита и охрана городских лесов»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«Обустройство территории городских лесов, локализация и ликвидация очагов вредных организмов городских лесов муниципального образования город Нефтеюганск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Яганов Руслан Муратович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 коммунального хозяйства администрации города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5884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Выполнение работ по обустройству, использованию, защите и охране городских лесов в соответствии с лесохозяйственным регламентом городских 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есов города Нефтеюганска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Направлено на обустройство территории городских лесов, локализация и ликвидация очагов вредных организмов городских лесов муниципального образования город Нефтеюганск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Предупреждение возникновения и распространения лесных пожаров»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Яганов Руслан Муратович</w:t>
            </w:r>
          </w:p>
        </w:tc>
      </w:tr>
      <w:tr w:rsidR="00A55884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 коммунального хозяйства администрации города</w:t>
            </w:r>
          </w:p>
        </w:tc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5884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Задача №1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работ по обустройству, использованию, защите и охране городских лесов в соответствии с лесохозяйственным регламентом городских лесов города Нефтеюганска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Направлено на обустройство территории городских лесов, локализация и ликвидация очагов вредн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ых организмов городских лесов муниципального образования город Нефтеюганск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минерализованной полосы</w:t>
            </w:r>
          </w:p>
        </w:tc>
      </w:tr>
    </w:tbl>
    <w:p w:rsidR="00A55884" w:rsidRDefault="00A55884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5884" w:rsidRDefault="00A55884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5884" w:rsidRDefault="00A55884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5884" w:rsidRDefault="00A55884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5884" w:rsidRDefault="00840B4C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4 </w:t>
      </w:r>
    </w:p>
    <w:p w:rsidR="00A55884" w:rsidRDefault="00840B4C">
      <w:pPr>
        <w:widowControl w:val="0"/>
        <w:spacing w:after="0" w:line="240" w:lineRule="auto"/>
        <w:ind w:left="6379" w:firstLine="142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A55884" w:rsidRDefault="00840B4C">
      <w:pPr>
        <w:widowControl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A55884" w:rsidRDefault="00840B4C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10.11.2025 № 1174-п</w:t>
      </w:r>
    </w:p>
    <w:p w:rsidR="00A55884" w:rsidRDefault="00A55884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16"/>
          <w:szCs w:val="16"/>
        </w:rPr>
      </w:pPr>
    </w:p>
    <w:p w:rsidR="00A55884" w:rsidRDefault="00840B4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Таблица 6</w:t>
      </w:r>
    </w:p>
    <w:p w:rsidR="00A55884" w:rsidRDefault="00840B4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Финансовое обеспечение муниципальной программы</w:t>
      </w:r>
    </w:p>
    <w:tbl>
      <w:tblPr>
        <w:tblpPr w:leftFromText="180" w:rightFromText="180" w:vertAnchor="text" w:horzAnchor="margin" w:tblpX="-582" w:tblpY="241"/>
        <w:tblW w:w="15861" w:type="dxa"/>
        <w:tblLayout w:type="fixed"/>
        <w:tblLook w:val="01E0" w:firstRow="1" w:lastRow="1" w:firstColumn="1" w:lastColumn="1" w:noHBand="0" w:noVBand="0"/>
      </w:tblPr>
      <w:tblGrid>
        <w:gridCol w:w="3671"/>
        <w:gridCol w:w="1559"/>
        <w:gridCol w:w="1701"/>
        <w:gridCol w:w="1701"/>
        <w:gridCol w:w="1701"/>
        <w:gridCol w:w="1843"/>
        <w:gridCol w:w="1843"/>
        <w:gridCol w:w="1842"/>
      </w:tblGrid>
      <w:tr w:rsidR="00A55884">
        <w:trPr>
          <w:trHeight w:val="537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исполнитель/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55884">
        <w:trPr>
          <w:trHeight w:val="328"/>
        </w:trPr>
        <w:tc>
          <w:tcPr>
            <w:tcW w:w="36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before="24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2028-2030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A55884">
        <w:trPr>
          <w:trHeight w:val="226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55884">
        <w:trPr>
          <w:trHeight w:val="151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и повышение энергетической эффективности в городе Нефтеюганске»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УКиТСЖ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2 388 674,39075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2 229 657,23561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1 236 734,64900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1 305 079,23900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2 702 393,81700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9 862 539,33136</w:t>
            </w:r>
          </w:p>
        </w:tc>
      </w:tr>
      <w:tr w:rsidR="00A55884">
        <w:trPr>
          <w:trHeight w:val="335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1 302 445,42500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1 627 490,91500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1 003 065,14900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979 993,43900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2 702 393,81700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7 615 388,74500</w:t>
            </w:r>
          </w:p>
        </w:tc>
      </w:tr>
      <w:tr w:rsidR="00A55884">
        <w:trPr>
          <w:trHeight w:val="40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710 395,23039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463 112,88111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220 225,90000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291 782,20000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1 685 516,21150</w:t>
            </w:r>
          </w:p>
        </w:tc>
      </w:tr>
      <w:tr w:rsidR="00A55884">
        <w:trPr>
          <w:trHeight w:val="35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9 811,90000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9 842,50000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13 443,60000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33 303,60000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66 401,60000</w:t>
            </w:r>
          </w:p>
        </w:tc>
      </w:tr>
      <w:tr w:rsidR="00A55884">
        <w:trPr>
          <w:trHeight w:val="490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366 021,83536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129 210,93950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495 232,77486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1 196 461,12939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1 587 814,74300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1 176 861,01900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1 264 244,23900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2 579 888,81700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7 805 269,94739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1 061 008,09900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1 405 995,14300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943 191,51900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939 158,43900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2 579 888,81700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6 929 242,01700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125 641,13039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171 977,10000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220 225,90000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291 782,20000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809 626,33039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9 811,90000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9 842,50000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13 443,60000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33 303,60000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66 401,60000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746 157,39400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468 123,08611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25 168,73000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1 239 449,21011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161 403,29400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176 987,30500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25 168,73000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363 559,32900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584 754,10000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291 135,78111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875 889,88111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71 634,85900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28 423,06800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30 669,90000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36 800,00000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110 400,00000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277 927,82700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71 634,85900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28 423,06800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30 669,90000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110 400,00000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277 927,82700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2 711,88900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2 385,00000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7 481,88900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2 711,88900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2 385,00000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7 481,88900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586,07500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1 786,07500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586,07500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1 786,07500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515,27000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481,64200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2 421,91200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515,27000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481,64200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855,00000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2 421,91200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6 502,82800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12 691,86800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2 755,00000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2 755,00000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8 265,00000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32 969,69600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6 502,82800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12 691,86800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2 755,00000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2 755,00000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8 265,00000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32 969,69600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УКиТСЖ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366 021,83536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129 210,93950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495 232,77486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0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3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366 021,83536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129 210,93950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495 232,77486</w:t>
            </w:r>
          </w:p>
        </w:tc>
      </w:tr>
      <w:tr w:rsidR="00A55884">
        <w:trPr>
          <w:trHeight w:val="464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Объем налоговых расходов муниципального образования (справочно)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884">
        <w:trPr>
          <w:trHeight w:val="1309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1 «Создание условий для обеспечения качественными коммунальными услугами» (всего), в том числе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ДГиЗО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ДЖКХ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735 566,23700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663 019,00611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29 104,20000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1 447 092,24311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150 812,13700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371 883,22500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29 104,20000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571 202,36200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584 754,10000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291 135,78111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875 889,88111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ДГиЗО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678 969,16300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428 354,51611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1 107 323,67911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94 215,06300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137 218,73500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231 433,79800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584 754,10000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291 135,78111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875 889,88111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35 563,24000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234 664,49000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29 104,20000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318 734,73000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35 563,24000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234 664,49000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29 104,20000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318 734,73000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21 033,83400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21 033,83400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21 033,83400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21 033,83400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1.1.Региональный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проект «Создание (реконструкция) коммунальных объектов»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617 657,36200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291 190,25411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908 847,61611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32 903,26200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54,47300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32 957,73500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584 754,10000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291 135,78111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875 889,88111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2.Региональный проект «Чистая вода»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161,15200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161,15200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161,15200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161,15200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>Комплекс процессных мероприятий 1.3. «Реконструкция, расширение, модернизация, строительство коммунальных объектов, в том числе объектов питьевого водоснабжения»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82 184,48300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137 164,26200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219 348,74500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82 184,48300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137 164,26200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219 348,74500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61 150,64900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137 164,26200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198 314,91100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61 150,64900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137 164,26200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198 314,91100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21 033,83400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21 033,83400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21 033,83400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21 033,83400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8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1.4.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Предоставление субсидий организациям коммунального комплекса, предоставляющим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коммунальные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услуги</w:t>
            </w:r>
          </w:p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населению»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35 563,24000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234 664,49000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29 104,20000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318 734,73000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35 563,24000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234 664,49000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9 701,40000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29 104,20000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318 734,73000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1349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2 «Создание условий для обеспечения доступности и повышения качества жилищных услуг»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71 431,65900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44 722,43800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37 338,80000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43 468,90000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130 406,70000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327 368,49700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71 431,65900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44 722,43800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37 338,80000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43 468,90000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130 406,70000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327 368,49700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20 882,43400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16 299,37000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6 668,90000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6 668,90000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20 006,70000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70 526,30400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20 882,43400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16 299,37000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6 668,90000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6 668,90000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20 006,70000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70 526,30400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50 549,22500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28 423,06800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30 669,90000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36 800,00000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110 400,00000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256 842,19300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50 549,22500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28 423,06800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30 669,90000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36 800,00000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110 400,00000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256 842,19300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2.1 «Поддержка технического состояния жилищного фонда»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71 431,65900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44 722,43800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37 338,80000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43 468,90000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130 406,70000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327 368,49700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71 431,65900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44 722,43800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37 338,80000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43 468,90000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130 406,70000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327 368,49700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425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20 882,43400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16 299,37000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6 668,90000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6 668,90000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20 006,70000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70 526,30400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20 882,43400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16 299,37000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6 668,90000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6 668,90000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20 006,70000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70 526,30400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50 549,22500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28 423,06800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30 669,90000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110 400,00000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256 842,19300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50 549,22500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28 423,06800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30 669,90000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36 800,00000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110 400,00000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256 842,19300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2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3 «Повышение энергоэффективности в отраслях экономики»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УКиТСЖ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374 584,80836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174 789,49750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4 035,00000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4 035,00000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12 105,00000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569 549,30586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8 562,97300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45 578,55800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4 035,00000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4 035,00000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12 105,00000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74 316,53100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785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366 021,83536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129 210,93950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495 232,77486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2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3.1 «Реализация энергосберегающих мероприятий в муниципальном секторе»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ДДА 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ДМИ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ДГиЗО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8 562,97300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16 085,39900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4 035,00000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4 035,00000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12 105,00000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44 823,37200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8 562,97300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16 085,39900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4 035,00000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4 035,00000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12 105,00000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44 823,37200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515,27000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481,64200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285,00000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855,00000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2 421,91200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515,27000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481,64200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285,00000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855,00000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2 421,91200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6 502,82800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12 691,86800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2 755,00000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2 755,00000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8 265,00000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32 969,69600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6 502,82800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12 691,86800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2 755,00000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2 755,00000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8 265,00000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32 969,69600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КФКиС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2 711,88900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2 385,00000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7 481,88900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2 711,88900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795,00000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2 385,00000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7 481,88900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586,07500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1 786,07500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586,07500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1 786,07500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 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51,80000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51,80000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51,80000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51,80000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1322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1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3.2 «Реализация энергосберегающих мероприятий в системах наружного освещения и коммунальной инфраструктуры» (всего), в том числе: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29 493,15900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29 493,15900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29 493,15900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29 493,15900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1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>Комплекс процессных мероприятий 3.3 «Реализация энергосберегающих мероприятий в жилищном фонде» (всего), в том числе: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УКиТСЖ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366 021,83536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129 210,93950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495 232,77486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366 021,83536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129 210,93950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495 232,77486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4 «Формирование комфортной городской среды»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662 963,88039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747 049,21900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514 545,40000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495 595,09700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1 337 758,49100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3 757 912,08739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635 113,25000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709 386,11900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471 769,90000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454 193,69700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1 337 758,49100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3 608 221,45700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18 038,73039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27 820,60000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29 331,90000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28 824,70000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104 015,93039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9 811,90000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9 842,50000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13 443,60000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12 576,70000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45 674,70000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595 775,64939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707 280,64900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498 409,91700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495 595,09700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1 337 758,49100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3 634 819,80339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567 925,01900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669 617,54900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455 634,41700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454 193,69700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1 337 758,49100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3 485 129,17300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18 038,73039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27 820,60000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29 331,90000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28 824,70000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104 015,93039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9 811,90000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9 842,50000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13 443,60000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12 576,70000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45 674,70000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67 188,23100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39 768,57000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16 135,48300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123 092,28400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67 188,23100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39 768,57000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16 135,48300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123 092,28400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>4.1 «Региональный проект «Формирование комфортной городской среды»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31 507,33039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61 767,12800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49 088,40000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41 370,80000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183 733,65839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6 301,50000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36 524,62800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14 617,70000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8 274,20000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65 718,02800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15 393,93039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15 400,00000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21 027,10000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20 519,90000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72 340,93039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9 811,90000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9 842,50000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13 443,60000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12 576,70000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45 674,70000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31 507,33039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61 767,12800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43 088,40000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41 370,80000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177 733,65839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6 301,50000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36 524,62800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8 617,70000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8 274,20000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59 718,02800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15 393,93039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15 400,00000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21 027,10000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20 519,90000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72 340,93039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9 811,90000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9 842,50000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13 443,60000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12 576,70000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45 674,70000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6 000,00000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6 000,00000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6 000,00000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6 000,00000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Комплекс процессных мероприятий 4.2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Улучшение санитарного состояния городских территорий»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390 869,22400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437 487,61800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351 655,52000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350 558,30000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1 026 760,50000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2 557 331,16200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388 224,42400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425 067,01800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343 350,72000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342 253,50000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1 026 760,50000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2 525 656,16200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2 644,80000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12 420,60000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8 304,80000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8 304,80000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31 675,00000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4.3 «Благоустройство и озеленение города»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240 587,32600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247 794,47300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113 801,48000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103 665,99700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310 997,99100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1 016 847,26700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240 587,32600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247 794,47300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113 801,48000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103 665,99700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310 997,99100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1 016 847,26700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173 399,09500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208 025,90300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103 665,99700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103 665,99700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310 997,99100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899 754,98300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173 399,09500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208 025,90300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103 665,99700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103 665,99700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310 997,99100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899 754,98300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67 188,23100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39 768,57000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10 135,48300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117 092,28400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67 188,23100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39 768,57000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10 135,48300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117 092,28400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1015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5 «Обеспечение реализации муниципальной программы»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397 881,91400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407 936,12400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390 563,30000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388 346,47400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1 165 039,42200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2 749 767,23400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397 426,21400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407 936,12400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390 563,30000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388 346,47400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1 165 039,42200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2 749 311,53400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455,70000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455,70000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1534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Комплекс процессных мероприятий 5.1 «Обеспечение деятельности органов местного самоуправления города Нефтеюганска»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67 724,37500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67 523,06800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67 199,32800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67 819,79600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203 459,38800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473 725,95500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67 268,67500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67 523,06800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67 199,32800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67 819,79600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203 459,38800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473 270,25500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455,70000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455,70000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1479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5.2 «Организационное обеспечение функционирования отрасли»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313 322,00500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314 435,88100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323 363,97200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320 526,67800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961 580,03400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2 233 228,57000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728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313 322,00500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314 435,88100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323 363,97200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320 526,67800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961 580,03400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2 233 228,57000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728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728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728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1156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5.3 «Выполнение других обязательств муниципального образования»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16 835,53400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25 977,17500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42 812,70900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7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16 835,53400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25 977,17500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42 812,70900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7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7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7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>Направление 6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144 852,29200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192 140,95100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280 550,74900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363 932,36800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27 980,00400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1 009 456,36400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37 705,59200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47 984,45100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89 656,74900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80 247,96800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27 980,00400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283 574,76400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107 146,70000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144 156,50000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190 894,00000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262 957,50000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705 154,70000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20 726,90000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20 726,90000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948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6.1 Региональный проект «Модернизация коммунальной инфраструктуры»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122 538,90000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122 538,90000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24 507,90000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24 507,90000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77 304,10000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77 304,10000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20 726,90000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20 726,90000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1166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«Комплекс процессных мероприятий 6.2 «Реализация полномочий в сфере жилищно- коммунального комплекса»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144 852,29200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192 140,95100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280 550,74900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241 393,46800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27 980,00400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886 917,46400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37 705,59200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47 984,45100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89 656,74900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55 740,06800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27 980,00400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259 066,86400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107 146,70000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144 156,50000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190 894,00000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185 653,40000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627 850,60000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144 852,29200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192 140,95100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271 517,50200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241 393,46800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27 980,00400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877 884,21700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37 705,59200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47 984,45100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80 623,50200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55 740,06800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27 980,00400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250 033,61700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107 146,70000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144 156,50000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190 894,00000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185 653,40000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627 850,60000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9 033,24700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9 033,24700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9 033,24700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9 033,24700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7 «Обустройство, использование, защита и охрана городских лесов»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1 393,60000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1 393,60000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1 393,60000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1 393,60000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7.1 «Обустройство территории городских лесов, локализация и ликвидация очагов вредных организмов городских лесов муниципального образования город Нефтеюганск»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7.2 «Предупреждение возникновения и распространения лесных пожаров» (всего),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1 393,60000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1 393,60000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1 393,60000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1 393,60000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  <w:tr w:rsidR="00A55884">
        <w:trPr>
          <w:trHeight w:val="391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ind w:firstLine="4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A558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884" w:rsidRDefault="00840B4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0,00000</w:t>
            </w:r>
          </w:p>
        </w:tc>
      </w:tr>
    </w:tbl>
    <w:p w:rsidR="00A55884" w:rsidRDefault="00A558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5884" w:rsidRDefault="00A558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A55884">
          <w:headerReference w:type="default" r:id="rId18"/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A55884" w:rsidRDefault="00A55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58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4C" w:rsidRDefault="00840B4C">
      <w:pPr>
        <w:spacing w:after="0" w:line="240" w:lineRule="auto"/>
      </w:pPr>
      <w:r>
        <w:separator/>
      </w:r>
    </w:p>
  </w:endnote>
  <w:endnote w:type="continuationSeparator" w:id="0">
    <w:p w:rsidR="00840B4C" w:rsidRDefault="0084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Pragmatica">
    <w:altName w:val="MT Extr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TTimes/Cyrillic"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84" w:rsidRDefault="00A5588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4C" w:rsidRDefault="00840B4C">
      <w:pPr>
        <w:spacing w:after="0" w:line="240" w:lineRule="auto"/>
      </w:pPr>
      <w:r>
        <w:separator/>
      </w:r>
    </w:p>
  </w:footnote>
  <w:footnote w:type="continuationSeparator" w:id="0">
    <w:p w:rsidR="00840B4C" w:rsidRDefault="0084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0962170"/>
      <w:docPartObj>
        <w:docPartGallery w:val="Page Numbers (Top of Page)"/>
        <w:docPartUnique/>
      </w:docPartObj>
    </w:sdtPr>
    <w:sdtEndPr/>
    <w:sdtContent>
      <w:p w:rsidR="00A55884" w:rsidRDefault="00840B4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DA7">
          <w:rPr>
            <w:noProof/>
          </w:rPr>
          <w:t>3</w:t>
        </w:r>
        <w:r>
          <w:fldChar w:fldCharType="end"/>
        </w:r>
      </w:p>
    </w:sdtContent>
  </w:sdt>
  <w:p w:rsidR="00A55884" w:rsidRDefault="00A5588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13137"/>
      <w:docPartObj>
        <w:docPartGallery w:val="Page Numbers (Top of Page)"/>
        <w:docPartUnique/>
      </w:docPartObj>
    </w:sdtPr>
    <w:sdtEndPr/>
    <w:sdtContent>
      <w:p w:rsidR="00A55884" w:rsidRDefault="00840B4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DA7">
          <w:rPr>
            <w:noProof/>
          </w:rPr>
          <w:t>61</w:t>
        </w:r>
        <w:r>
          <w:fldChar w:fldCharType="end"/>
        </w:r>
      </w:p>
    </w:sdtContent>
  </w:sdt>
  <w:p w:rsidR="00A55884" w:rsidRDefault="00A5588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5499"/>
    <w:multiLevelType w:val="hybridMultilevel"/>
    <w:tmpl w:val="94A2B1A0"/>
    <w:lvl w:ilvl="0" w:tplc="CACC689C">
      <w:start w:val="3"/>
      <w:numFmt w:val="bullet"/>
      <w:pStyle w:val="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2AE99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CBCD5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2AB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2CA2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AF0286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486E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BC8A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EAAEA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35A"/>
    <w:multiLevelType w:val="hybridMultilevel"/>
    <w:tmpl w:val="9EB02DD0"/>
    <w:lvl w:ilvl="0" w:tplc="082E1A0E">
      <w:start w:val="1"/>
      <w:numFmt w:val="decimal"/>
      <w:pStyle w:val="1"/>
      <w:lvlText w:val="%1."/>
      <w:lvlJc w:val="left"/>
      <w:pPr>
        <w:ind w:left="717" w:hanging="360"/>
      </w:pPr>
      <w:rPr>
        <w:rFonts w:hint="default"/>
      </w:rPr>
    </w:lvl>
    <w:lvl w:ilvl="1" w:tplc="CBE222B0">
      <w:start w:val="1"/>
      <w:numFmt w:val="lowerLetter"/>
      <w:lvlText w:val="%2."/>
      <w:lvlJc w:val="left"/>
      <w:pPr>
        <w:ind w:left="1440" w:hanging="360"/>
      </w:pPr>
    </w:lvl>
    <w:lvl w:ilvl="2" w:tplc="41862194">
      <w:start w:val="1"/>
      <w:numFmt w:val="lowerRoman"/>
      <w:lvlText w:val="%3."/>
      <w:lvlJc w:val="right"/>
      <w:pPr>
        <w:ind w:left="2160" w:hanging="180"/>
      </w:pPr>
    </w:lvl>
    <w:lvl w:ilvl="3" w:tplc="B1EAD754">
      <w:start w:val="1"/>
      <w:numFmt w:val="decimal"/>
      <w:lvlText w:val="%4."/>
      <w:lvlJc w:val="left"/>
      <w:pPr>
        <w:ind w:left="2880" w:hanging="360"/>
      </w:pPr>
    </w:lvl>
    <w:lvl w:ilvl="4" w:tplc="47889B64">
      <w:start w:val="1"/>
      <w:numFmt w:val="lowerLetter"/>
      <w:lvlText w:val="%5."/>
      <w:lvlJc w:val="left"/>
      <w:pPr>
        <w:ind w:left="3600" w:hanging="360"/>
      </w:pPr>
    </w:lvl>
    <w:lvl w:ilvl="5" w:tplc="B4581672">
      <w:start w:val="1"/>
      <w:numFmt w:val="lowerRoman"/>
      <w:lvlText w:val="%6."/>
      <w:lvlJc w:val="right"/>
      <w:pPr>
        <w:ind w:left="4320" w:hanging="180"/>
      </w:pPr>
    </w:lvl>
    <w:lvl w:ilvl="6" w:tplc="7FD81C1A">
      <w:start w:val="1"/>
      <w:numFmt w:val="decimal"/>
      <w:lvlText w:val="%7."/>
      <w:lvlJc w:val="left"/>
      <w:pPr>
        <w:ind w:left="5040" w:hanging="360"/>
      </w:pPr>
    </w:lvl>
    <w:lvl w:ilvl="7" w:tplc="79C88D3E">
      <w:start w:val="1"/>
      <w:numFmt w:val="lowerLetter"/>
      <w:lvlText w:val="%8."/>
      <w:lvlJc w:val="left"/>
      <w:pPr>
        <w:ind w:left="5760" w:hanging="360"/>
      </w:pPr>
    </w:lvl>
    <w:lvl w:ilvl="8" w:tplc="F078E7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E31DE"/>
    <w:multiLevelType w:val="hybridMultilevel"/>
    <w:tmpl w:val="A70E6116"/>
    <w:lvl w:ilvl="0" w:tplc="E7B81CA2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cs="Times New Roman" w:hint="default"/>
      </w:rPr>
    </w:lvl>
    <w:lvl w:ilvl="1" w:tplc="CC0683FE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23B2E92E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50FEA184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DB1450BC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B546B9A4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3B26A18C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E5F48348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E5267784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A265B86"/>
    <w:multiLevelType w:val="multilevel"/>
    <w:tmpl w:val="70DC0506"/>
    <w:styleLink w:val="20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CCF7550"/>
    <w:multiLevelType w:val="hybridMultilevel"/>
    <w:tmpl w:val="ABC07430"/>
    <w:lvl w:ilvl="0" w:tplc="B19C43A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7A87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9CCA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ECE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7E79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40E1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0ED2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3C8D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B422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5E330C6"/>
    <w:multiLevelType w:val="hybridMultilevel"/>
    <w:tmpl w:val="921CB3BE"/>
    <w:lvl w:ilvl="0" w:tplc="2FB2322A">
      <w:start w:val="1"/>
      <w:numFmt w:val="decimal"/>
      <w:pStyle w:val="21"/>
      <w:lvlText w:val="%1."/>
      <w:lvlJc w:val="left"/>
      <w:pPr>
        <w:tabs>
          <w:tab w:val="num" w:pos="643"/>
        </w:tabs>
        <w:ind w:left="643" w:hanging="360"/>
      </w:pPr>
    </w:lvl>
    <w:lvl w:ilvl="1" w:tplc="CB44AA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ACA2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A643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148C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AEBB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7EB6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C45E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063C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84"/>
    <w:rsid w:val="00825DA7"/>
    <w:rsid w:val="00840B4C"/>
    <w:rsid w:val="00A5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F1DE"/>
  <w15:docId w15:val="{0122D65A-357B-4165-9E05-1DBF1323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pPr>
      <w:numPr>
        <w:numId w:val="6"/>
      </w:num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2">
    <w:name w:val="heading 2"/>
    <w:basedOn w:val="a0"/>
    <w:next w:val="a0"/>
    <w:link w:val="23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pPr>
      <w:keepNext/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4">
    <w:name w:val="Quote"/>
    <w:basedOn w:val="a0"/>
    <w:next w:val="a0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6">
    <w:name w:val="caption"/>
    <w:basedOn w:val="a0"/>
    <w:next w:val="a0"/>
    <w:link w:val="a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7">
    <w:name w:val="Название объекта Знак"/>
    <w:basedOn w:val="a1"/>
    <w:link w:val="a6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6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3">
    <w:name w:val="toc 1"/>
    <w:basedOn w:val="a0"/>
    <w:next w:val="a0"/>
    <w:uiPriority w:val="39"/>
    <w:unhideWhenUsed/>
    <w:pPr>
      <w:spacing w:after="57"/>
    </w:pPr>
  </w:style>
  <w:style w:type="paragraph" w:styleId="27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0"/>
    <w:next w:val="a0"/>
    <w:uiPriority w:val="99"/>
    <w:unhideWhenUsed/>
    <w:pPr>
      <w:spacing w:after="0"/>
    </w:pPr>
  </w:style>
  <w:style w:type="paragraph" w:styleId="aa">
    <w:name w:val="List Paragraph"/>
    <w:basedOn w:val="a0"/>
    <w:link w:val="ab"/>
    <w:uiPriority w:val="1"/>
    <w:qFormat/>
    <w:pPr>
      <w:ind w:left="720"/>
      <w:contextualSpacing/>
    </w:pPr>
  </w:style>
  <w:style w:type="table" w:styleId="ac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3">
    <w:name w:val="Заголовок 2 Знак"/>
    <w:basedOn w:val="a1"/>
    <w:link w:val="2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1"/>
    <w:link w:val="3"/>
    <w:uiPriority w:val="99"/>
    <w:semiHidden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1"/>
    <w:link w:val="4"/>
    <w:uiPriority w:val="9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Pr>
      <w:rFonts w:ascii="Times New Roman" w:eastAsia="Times New Roman" w:hAnsi="Times New Roman" w:cs="Times New Roman"/>
      <w:b/>
      <w:bCs/>
    </w:rPr>
  </w:style>
  <w:style w:type="numbering" w:customStyle="1" w:styleId="14">
    <w:name w:val="Нет списка1"/>
    <w:next w:val="a3"/>
    <w:uiPriority w:val="99"/>
    <w:semiHidden/>
    <w:unhideWhenUsed/>
  </w:style>
  <w:style w:type="paragraph" w:customStyle="1" w:styleId="210">
    <w:name w:val="Основной текст 21"/>
    <w:basedOn w:val="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2"/>
    <w:basedOn w:val="a0"/>
    <w:link w:val="29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29">
    <w:name w:val="Основной текст 2 Знак"/>
    <w:basedOn w:val="a1"/>
    <w:link w:val="28"/>
    <w:rPr>
      <w:rFonts w:ascii="Times New Roman CYR" w:eastAsia="Times New Roman" w:hAnsi="Times New Roman CYR" w:cs="Times New Roman"/>
      <w:sz w:val="28"/>
      <w:szCs w:val="20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0"/>
    <w:link w:val="2a"/>
    <w:uiPriority w:val="1"/>
    <w:qFormat/>
    <w:pPr>
      <w:spacing w:after="12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e">
    <w:name w:val="Основной текст Знак"/>
    <w:basedOn w:val="a1"/>
    <w:uiPriority w:val="1"/>
  </w:style>
  <w:style w:type="paragraph" w:styleId="af">
    <w:name w:val="header"/>
    <w:basedOn w:val="a0"/>
    <w:link w:val="af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f0">
    <w:name w:val="Верхний колонтитул Знак"/>
    <w:basedOn w:val="a1"/>
    <w:link w:val="af"/>
    <w:uiPriority w:val="99"/>
    <w:rPr>
      <w:rFonts w:ascii="Pragmatica" w:eastAsia="Times New Roman" w:hAnsi="Pragmatica" w:cs="Times New Roman"/>
      <w:b/>
      <w:sz w:val="20"/>
      <w:szCs w:val="20"/>
    </w:rPr>
  </w:style>
  <w:style w:type="paragraph" w:styleId="af1">
    <w:name w:val="footer"/>
    <w:basedOn w:val="a0"/>
    <w:link w:val="af2"/>
    <w:uiPriority w:val="99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Pr>
      <w:rFonts w:ascii="Pragmatica" w:eastAsia="Times New Roman" w:hAnsi="Pragmatica" w:cs="Times New Roman"/>
      <w:b/>
      <w:sz w:val="20"/>
      <w:szCs w:val="20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pPr>
      <w:widowControl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3">
    <w:name w:val="Balloon Text"/>
    <w:basedOn w:val="a0"/>
    <w:link w:val="af4"/>
    <w:uiPriority w:val="99"/>
    <w:pPr>
      <w:spacing w:after="0" w:line="240" w:lineRule="auto"/>
    </w:pPr>
    <w:rPr>
      <w:rFonts w:ascii="Tahoma" w:eastAsia="Times New Roman" w:hAnsi="Tahoma" w:cs="Times New Roman"/>
      <w:b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rPr>
      <w:rFonts w:ascii="Tahoma" w:eastAsia="Times New Roman" w:hAnsi="Tahoma" w:cs="Times New Roman"/>
      <w:b/>
      <w:sz w:val="16"/>
      <w:szCs w:val="16"/>
    </w:rPr>
  </w:style>
  <w:style w:type="table" w:customStyle="1" w:styleId="15">
    <w:name w:val="Сетка таблицы1"/>
    <w:basedOn w:val="a2"/>
    <w:next w:val="ac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</w:style>
  <w:style w:type="paragraph" w:customStyle="1" w:styleId="16">
    <w:name w:val="Без интервала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5">
    <w:name w:val="page number"/>
    <w:basedOn w:val="a1"/>
    <w:uiPriority w:val="99"/>
  </w:style>
  <w:style w:type="paragraph" w:customStyle="1" w:styleId="270">
    <w:name w:val="Средняя сетка 27"/>
    <w:link w:val="2b"/>
    <w:uiPriority w:val="68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b">
    <w:name w:val="Средняя сетка 2 Знак"/>
    <w:link w:val="270"/>
    <w:uiPriority w:val="68"/>
    <w:rPr>
      <w:rFonts w:ascii="Calibri" w:eastAsia="Times New Roman" w:hAnsi="Calibri" w:cs="Times New Roman"/>
      <w:lang w:eastAsia="ru-RU"/>
    </w:rPr>
  </w:style>
  <w:style w:type="paragraph" w:styleId="af6">
    <w:name w:val="Body Text Indent"/>
    <w:basedOn w:val="a0"/>
    <w:link w:val="af7"/>
    <w:qFormat/>
    <w:pPr>
      <w:spacing w:after="120" w:line="240" w:lineRule="auto"/>
      <w:ind w:left="283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f7">
    <w:name w:val="Основной текст с отступом Знак"/>
    <w:basedOn w:val="a1"/>
    <w:link w:val="af6"/>
    <w:rPr>
      <w:rFonts w:ascii="Pragmatica" w:eastAsia="Times New Roman" w:hAnsi="Pragmatica" w:cs="Times New Roman"/>
      <w:b/>
      <w:sz w:val="20"/>
      <w:szCs w:val="20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character" w:styleId="af9">
    <w:name w:val="FollowedHyperlink"/>
    <w:uiPriority w:val="99"/>
    <w:unhideWhenUsed/>
    <w:rPr>
      <w:color w:val="800080"/>
      <w:u w:val="single"/>
    </w:rPr>
  </w:style>
  <w:style w:type="numbering" w:customStyle="1" w:styleId="110">
    <w:name w:val="Нет списка11"/>
    <w:next w:val="a3"/>
    <w:uiPriority w:val="99"/>
    <w:semiHidden/>
    <w:unhideWhenUsed/>
  </w:style>
  <w:style w:type="character" w:customStyle="1" w:styleId="211">
    <w:name w:val="Заголовок 2 Знак1"/>
    <w:uiPriority w:val="9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HTML">
    <w:name w:val="HTML Preformatted"/>
    <w:basedOn w:val="a0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Обычный (веб) Знак"/>
    <w:link w:val="afb"/>
    <w:rPr>
      <w:sz w:val="24"/>
      <w:szCs w:val="24"/>
    </w:rPr>
  </w:style>
  <w:style w:type="paragraph" w:styleId="afb">
    <w:name w:val="Normal (Web)"/>
    <w:basedOn w:val="a0"/>
    <w:link w:val="afa"/>
    <w:uiPriority w:val="99"/>
    <w:unhideWhenUsed/>
    <w:qFormat/>
    <w:pPr>
      <w:spacing w:after="0" w:line="240" w:lineRule="auto"/>
      <w:ind w:left="708"/>
    </w:pPr>
    <w:rPr>
      <w:sz w:val="24"/>
      <w:szCs w:val="24"/>
    </w:rPr>
  </w:style>
  <w:style w:type="character" w:customStyle="1" w:styleId="afc">
    <w:name w:val="Текст сноски Знак"/>
    <w:link w:val="afd"/>
    <w:uiPriority w:val="99"/>
  </w:style>
  <w:style w:type="paragraph" w:styleId="afd">
    <w:name w:val="footnote text"/>
    <w:basedOn w:val="a0"/>
    <w:link w:val="afc"/>
    <w:uiPriority w:val="99"/>
    <w:unhideWhenUsed/>
    <w:qFormat/>
    <w:pPr>
      <w:spacing w:after="0" w:line="240" w:lineRule="auto"/>
    </w:pPr>
  </w:style>
  <w:style w:type="character" w:customStyle="1" w:styleId="17">
    <w:name w:val="Текст сноски Знак1"/>
    <w:basedOn w:val="a1"/>
    <w:rPr>
      <w:sz w:val="20"/>
      <w:szCs w:val="20"/>
    </w:rPr>
  </w:style>
  <w:style w:type="character" w:customStyle="1" w:styleId="afe">
    <w:name w:val="Текст примечания Знак"/>
    <w:link w:val="aff"/>
    <w:uiPriority w:val="99"/>
  </w:style>
  <w:style w:type="character" w:customStyle="1" w:styleId="aff0">
    <w:name w:val="Текст концевой сноски Знак"/>
    <w:link w:val="aff1"/>
    <w:uiPriority w:val="99"/>
    <w:rPr>
      <w:rFonts w:ascii="Calibri" w:hAnsi="Calibri"/>
    </w:rPr>
  </w:style>
  <w:style w:type="paragraph" w:styleId="aff2">
    <w:name w:val="Title"/>
    <w:basedOn w:val="a0"/>
    <w:next w:val="a0"/>
    <w:link w:val="18"/>
    <w:uiPriority w:val="99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3">
    <w:name w:val="Заголовок Знак"/>
    <w:basedOn w:val="a1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4">
    <w:name w:val="Название Знак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19">
    <w:name w:val="Основной текст с отступом Знак1"/>
    <w:uiPriority w:val="99"/>
    <w:semiHidden/>
    <w:rPr>
      <w:sz w:val="24"/>
      <w:szCs w:val="24"/>
    </w:rPr>
  </w:style>
  <w:style w:type="character" w:customStyle="1" w:styleId="aff5">
    <w:name w:val="Подзаголовок Знак"/>
    <w:link w:val="aff6"/>
    <w:uiPriority w:val="11"/>
    <w:rPr>
      <w:b/>
      <w:sz w:val="24"/>
    </w:rPr>
  </w:style>
  <w:style w:type="character" w:customStyle="1" w:styleId="1a">
    <w:name w:val="Основной текст Знак1"/>
    <w:semiHidden/>
    <w:rPr>
      <w:sz w:val="24"/>
      <w:szCs w:val="24"/>
    </w:rPr>
  </w:style>
  <w:style w:type="character" w:customStyle="1" w:styleId="aff7">
    <w:name w:val="Красная строка Знак"/>
    <w:link w:val="aff8"/>
  </w:style>
  <w:style w:type="character" w:customStyle="1" w:styleId="33">
    <w:name w:val="Основной текст 3 Знак"/>
    <w:link w:val="34"/>
    <w:uiPriority w:val="99"/>
    <w:rPr>
      <w:sz w:val="16"/>
      <w:szCs w:val="16"/>
    </w:rPr>
  </w:style>
  <w:style w:type="character" w:customStyle="1" w:styleId="2c">
    <w:name w:val="Основной текст с отступом 2 Знак"/>
    <w:link w:val="2d"/>
    <w:rPr>
      <w:sz w:val="24"/>
      <w:szCs w:val="24"/>
    </w:rPr>
  </w:style>
  <w:style w:type="character" w:customStyle="1" w:styleId="35">
    <w:name w:val="Основной текст с отступом 3 Знак"/>
    <w:link w:val="36"/>
    <w:rPr>
      <w:sz w:val="16"/>
      <w:szCs w:val="16"/>
    </w:rPr>
  </w:style>
  <w:style w:type="character" w:customStyle="1" w:styleId="aff9">
    <w:name w:val="Текст Знак"/>
    <w:link w:val="affa"/>
    <w:uiPriority w:val="99"/>
    <w:rPr>
      <w:rFonts w:ascii="Consolas" w:hAnsi="Consolas"/>
      <w:sz w:val="21"/>
      <w:szCs w:val="21"/>
    </w:rPr>
  </w:style>
  <w:style w:type="paragraph" w:styleId="aff">
    <w:name w:val="annotation text"/>
    <w:basedOn w:val="a0"/>
    <w:link w:val="afe"/>
    <w:uiPriority w:val="99"/>
    <w:unhideWhenUsed/>
    <w:pPr>
      <w:spacing w:after="0" w:line="240" w:lineRule="auto"/>
    </w:pPr>
  </w:style>
  <w:style w:type="character" w:customStyle="1" w:styleId="1b">
    <w:name w:val="Текст примечания Знак1"/>
    <w:basedOn w:val="a1"/>
    <w:rPr>
      <w:sz w:val="20"/>
      <w:szCs w:val="20"/>
    </w:rPr>
  </w:style>
  <w:style w:type="character" w:customStyle="1" w:styleId="affb">
    <w:name w:val="Тема примечания Знак"/>
    <w:link w:val="affc"/>
    <w:uiPriority w:val="99"/>
    <w:rPr>
      <w:b/>
      <w:bCs/>
    </w:rPr>
  </w:style>
  <w:style w:type="character" w:customStyle="1" w:styleId="affd">
    <w:name w:val="Без интервала Знак"/>
    <w:link w:val="affe"/>
    <w:rPr>
      <w:rFonts w:ascii="Calibri" w:hAnsi="Calibri"/>
    </w:rPr>
  </w:style>
  <w:style w:type="character" w:customStyle="1" w:styleId="ab">
    <w:name w:val="Абзац списка Знак"/>
    <w:link w:val="aa"/>
    <w:uiPriority w:val="34"/>
  </w:style>
  <w:style w:type="paragraph" w:customStyle="1" w:styleId="afff">
    <w:name w:val="Обычный (паспорт)"/>
    <w:basedOn w:val="a0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0">
    <w:name w:val="Жирный (паспорт)"/>
    <w:basedOn w:val="a0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53">
    <w:name w:val="Основной текст5"/>
    <w:basedOn w:val="a0"/>
    <w:qFormat/>
    <w:pPr>
      <w:widowControl w:val="0"/>
      <w:shd w:val="clear" w:color="auto" w:fill="FFFFFF"/>
      <w:spacing w:after="300" w:line="274" w:lineRule="exact"/>
      <w:ind w:hanging="360"/>
      <w:jc w:val="center"/>
    </w:pPr>
    <w:rPr>
      <w:rFonts w:ascii="Times New Roman" w:eastAsia="Times New Roman" w:hAnsi="Times New Roman" w:cs="Times New Roman"/>
      <w:color w:val="000000"/>
      <w:spacing w:val="-1"/>
      <w:lang w:eastAsia="ru-RU"/>
    </w:rPr>
  </w:style>
  <w:style w:type="paragraph" w:customStyle="1" w:styleId="afff1">
    <w:name w:val="Знак Знак Знак Знак Знак Знак"/>
    <w:basedOn w:val="a0"/>
    <w:qFormat/>
    <w:pPr>
      <w:tabs>
        <w:tab w:val="num" w:pos="432"/>
        <w:tab w:val="left" w:pos="6159"/>
      </w:tabs>
      <w:spacing w:before="12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0"/>
    <w:qFormat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2">
    <w:name w:val="Нормальный Знак"/>
    <w:link w:val="afff3"/>
    <w:rPr>
      <w:rFonts w:eastAsia="Calibri"/>
      <w:sz w:val="26"/>
      <w:szCs w:val="26"/>
    </w:rPr>
  </w:style>
  <w:style w:type="paragraph" w:customStyle="1" w:styleId="afff3">
    <w:name w:val="Нормальный"/>
    <w:link w:val="afff2"/>
    <w:qFormat/>
    <w:pPr>
      <w:spacing w:after="0" w:line="360" w:lineRule="auto"/>
      <w:ind w:firstLine="567"/>
      <w:jc w:val="both"/>
    </w:pPr>
    <w:rPr>
      <w:rFonts w:eastAsia="Calibri"/>
      <w:sz w:val="26"/>
      <w:szCs w:val="26"/>
    </w:rPr>
  </w:style>
  <w:style w:type="paragraph" w:customStyle="1" w:styleId="afff4">
    <w:name w:val="Знак Знак Знак Знак Знак Знак Знак Знак Знак Знак Знак Знак Знак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Мой стиль"/>
    <w:basedOn w:val="a0"/>
    <w:qFormat/>
    <w:pPr>
      <w:widowControl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6">
    <w:name w:val="Основной текст_"/>
    <w:link w:val="37"/>
    <w:rPr>
      <w:sz w:val="21"/>
      <w:szCs w:val="21"/>
      <w:shd w:val="clear" w:color="auto" w:fill="FFFFFF"/>
    </w:rPr>
  </w:style>
  <w:style w:type="paragraph" w:customStyle="1" w:styleId="37">
    <w:name w:val="Основной текст3"/>
    <w:basedOn w:val="a0"/>
    <w:link w:val="afff6"/>
    <w:qFormat/>
    <w:pPr>
      <w:shd w:val="clear" w:color="auto" w:fill="FFFFFF"/>
      <w:spacing w:before="780" w:after="0" w:line="250" w:lineRule="exact"/>
      <w:jc w:val="both"/>
    </w:pPr>
    <w:rPr>
      <w:sz w:val="21"/>
      <w:szCs w:val="21"/>
    </w:rPr>
  </w:style>
  <w:style w:type="paragraph" w:customStyle="1" w:styleId="afff7">
    <w:name w:val="Знак"/>
    <w:basedOn w:val="a0"/>
    <w:next w:val="a0"/>
    <w:qFormat/>
    <w:pPr>
      <w:spacing w:line="240" w:lineRule="exact"/>
      <w:ind w:firstLine="720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8">
    <w:name w:val="Знак Знак Знак Знак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c">
    <w:name w:val="Абзац списка1"/>
    <w:basedOn w:val="a0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customStyle="1" w:styleId="afff9">
    <w:name w:val="Текст в заданном формате"/>
    <w:basedOn w:val="a0"/>
    <w:qFormat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e">
    <w:name w:val="Знак2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a">
    <w:name w:val="Прижатый влево"/>
    <w:basedOn w:val="a0"/>
    <w:next w:val="a0"/>
    <w:uiPriority w:val="99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d">
    <w:name w:val="Стиль заголовка 1"/>
    <w:basedOn w:val="a0"/>
    <w:qFormat/>
    <w:pPr>
      <w:shd w:val="clear" w:color="auto" w:fill="FFFFFF"/>
      <w:spacing w:after="0" w:line="240" w:lineRule="auto"/>
      <w:ind w:left="720" w:right="-7" w:hanging="36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fb">
    <w:name w:val="Основной"/>
    <w:basedOn w:val="a0"/>
    <w:qFormat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c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d">
    <w:name w:val="Обычный + По центру"/>
    <w:basedOn w:val="aff2"/>
    <w:qFormat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</w:rPr>
  </w:style>
  <w:style w:type="paragraph" w:customStyle="1" w:styleId="1e">
    <w:name w:val="Обычный + Первая строка:  1"/>
    <w:basedOn w:val="aff2"/>
    <w:qFormat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</w:rPr>
  </w:style>
  <w:style w:type="character" w:customStyle="1" w:styleId="2f">
    <w:name w:val="Стиль заголовка 2 Знак"/>
    <w:link w:val="2f0"/>
    <w:rPr>
      <w:b/>
      <w:bCs/>
      <w:color w:val="000000"/>
      <w:sz w:val="24"/>
      <w:szCs w:val="24"/>
      <w:shd w:val="clear" w:color="auto" w:fill="FFFFFF"/>
    </w:rPr>
  </w:style>
  <w:style w:type="paragraph" w:customStyle="1" w:styleId="2f0">
    <w:name w:val="Стиль заголовка 2"/>
    <w:basedOn w:val="a0"/>
    <w:link w:val="2f"/>
    <w:qFormat/>
    <w:pPr>
      <w:shd w:val="clear" w:color="auto" w:fill="FFFFFF"/>
      <w:spacing w:after="0" w:line="240" w:lineRule="auto"/>
      <w:jc w:val="center"/>
      <w:outlineLvl w:val="1"/>
    </w:pPr>
    <w:rPr>
      <w:b/>
      <w:bCs/>
      <w:color w:val="000000"/>
      <w:sz w:val="24"/>
      <w:szCs w:val="24"/>
    </w:rPr>
  </w:style>
  <w:style w:type="paragraph" w:customStyle="1" w:styleId="afffe">
    <w:name w:val="Текст (справка)"/>
    <w:basedOn w:val="a0"/>
    <w:next w:val="a0"/>
    <w:uiPriority w:val="99"/>
    <w:qFormat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Нормальный (таблица)"/>
    <w:basedOn w:val="a0"/>
    <w:next w:val="a0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1">
    <w:name w:val="стиль2 Знак Знак"/>
    <w:link w:val="2f2"/>
    <w:rPr>
      <w:b/>
      <w:color w:val="000000"/>
      <w:sz w:val="28"/>
      <w:szCs w:val="28"/>
      <w:shd w:val="clear" w:color="auto" w:fill="FFFFFF"/>
    </w:rPr>
  </w:style>
  <w:style w:type="paragraph" w:customStyle="1" w:styleId="2f2">
    <w:name w:val="стиль2 Знак"/>
    <w:basedOn w:val="a0"/>
    <w:link w:val="2f1"/>
    <w:qFormat/>
    <w:pPr>
      <w:widowControl w:val="0"/>
      <w:shd w:val="clear" w:color="auto" w:fill="FFFFFF"/>
      <w:tabs>
        <w:tab w:val="left" w:pos="1440"/>
      </w:tabs>
      <w:spacing w:after="0" w:line="240" w:lineRule="auto"/>
      <w:jc w:val="center"/>
    </w:pPr>
    <w:rPr>
      <w:b/>
      <w:color w:val="000000"/>
      <w:sz w:val="28"/>
      <w:szCs w:val="28"/>
    </w:rPr>
  </w:style>
  <w:style w:type="paragraph" w:customStyle="1" w:styleId="ConsCell">
    <w:name w:val="ConsCel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0"/>
    <w:qFormat/>
    <w:pPr>
      <w:widowControl w:val="0"/>
      <w:spacing w:after="0" w:line="315" w:lineRule="exact"/>
      <w:ind w:firstLine="53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affff0">
    <w:name w:val="ЗтекстГаля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f">
    <w:name w:val="список 1"/>
    <w:basedOn w:val="a0"/>
    <w:qFormat/>
    <w:pPr>
      <w:tabs>
        <w:tab w:val="left" w:pos="1080"/>
      </w:tabs>
      <w:spacing w:after="0" w:line="240" w:lineRule="auto"/>
      <w:ind w:firstLine="8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Стиль1"/>
    <w:basedOn w:val="afb"/>
    <w:qFormat/>
    <w:pPr>
      <w:ind w:left="0" w:firstLine="709"/>
      <w:jc w:val="both"/>
    </w:pPr>
    <w:rPr>
      <w:sz w:val="28"/>
      <w:szCs w:val="28"/>
    </w:rPr>
  </w:style>
  <w:style w:type="character" w:customStyle="1" w:styleId="1f1">
    <w:name w:val="стиль1 Знак"/>
    <w:link w:val="1f2"/>
    <w:rPr>
      <w:b/>
      <w:bCs/>
      <w:color w:val="000000"/>
      <w:sz w:val="28"/>
      <w:szCs w:val="28"/>
      <w:shd w:val="clear" w:color="auto" w:fill="FFFFFF"/>
    </w:rPr>
  </w:style>
  <w:style w:type="paragraph" w:customStyle="1" w:styleId="1f2">
    <w:name w:val="стиль1"/>
    <w:basedOn w:val="a0"/>
    <w:link w:val="1f1"/>
    <w:qFormat/>
    <w:pPr>
      <w:shd w:val="clear" w:color="auto" w:fill="FFFFFF"/>
      <w:spacing w:after="0" w:line="240" w:lineRule="auto"/>
      <w:ind w:right="-287"/>
      <w:jc w:val="center"/>
    </w:pPr>
    <w:rPr>
      <w:b/>
      <w:bCs/>
      <w:color w:val="000000"/>
      <w:sz w:val="28"/>
      <w:szCs w:val="28"/>
    </w:rPr>
  </w:style>
  <w:style w:type="paragraph" w:customStyle="1" w:styleId="38">
    <w:name w:val="Стиль3"/>
    <w:basedOn w:val="a0"/>
    <w:qFormat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52"/>
      <w:szCs w:val="52"/>
      <w:lang w:eastAsia="ru-RU"/>
    </w:rPr>
  </w:style>
  <w:style w:type="paragraph" w:customStyle="1" w:styleId="jst">
    <w:name w:val="jst"/>
    <w:basedOn w:val="a0"/>
    <w:qFormat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Number 2"/>
    <w:basedOn w:val="a0"/>
    <w:unhideWhenUsed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CHET00">
    <w:name w:val="OTCHET_00"/>
    <w:basedOn w:val="21"/>
    <w:qFormat/>
    <w:pPr>
      <w:numPr>
        <w:numId w:val="0"/>
      </w:numPr>
      <w:tabs>
        <w:tab w:val="num" w:pos="313"/>
        <w:tab w:val="num" w:pos="643"/>
        <w:tab w:val="left" w:pos="720"/>
        <w:tab w:val="left" w:pos="3402"/>
      </w:tabs>
      <w:spacing w:line="360" w:lineRule="auto"/>
      <w:contextualSpacing w:val="0"/>
      <w:jc w:val="both"/>
    </w:pPr>
    <w:rPr>
      <w:rFonts w:ascii="NTTimes/Cyrillic" w:hAnsi="NTTimes/Cyrillic"/>
      <w:szCs w:val="20"/>
    </w:rPr>
  </w:style>
  <w:style w:type="paragraph" w:customStyle="1" w:styleId="affff1">
    <w:name w:val="Таблицы (моноширинный)"/>
    <w:basedOn w:val="a0"/>
    <w:next w:val="a0"/>
    <w:qFormat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92">
    <w:name w:val="Знак Знак9 Знак Знак Знак Знак"/>
    <w:basedOn w:val="a0"/>
    <w:qFormat/>
    <w:pPr>
      <w:widowControl w:val="0"/>
      <w:spacing w:line="240" w:lineRule="exact"/>
      <w:ind w:firstLine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Default">
    <w:name w:val="Default"/>
    <w:qFormat/>
    <w:pPr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f3"/>
    <w:uiPriority w:val="99"/>
    <w:semiHidden/>
    <w:rPr>
      <w:rFonts w:ascii="TimesET" w:hAnsi="TimesET" w:cs="TimesET"/>
    </w:rPr>
  </w:style>
  <w:style w:type="paragraph" w:customStyle="1" w:styleId="1f3">
    <w:name w:val="Основной текст с отступом1"/>
    <w:basedOn w:val="a0"/>
    <w:link w:val="BodyTextIndentChar"/>
    <w:uiPriority w:val="99"/>
    <w:semiHidden/>
    <w:qFormat/>
    <w:pPr>
      <w:spacing w:after="0" w:line="240" w:lineRule="auto"/>
      <w:ind w:firstLine="720"/>
      <w:jc w:val="both"/>
    </w:pPr>
    <w:rPr>
      <w:rFonts w:ascii="TimesET" w:hAnsi="TimesET" w:cs="TimesET"/>
    </w:rPr>
  </w:style>
  <w:style w:type="paragraph" w:customStyle="1" w:styleId="affff2">
    <w:name w:val="Знак Знак Знак Знак Знак Знак Знак"/>
    <w:basedOn w:val="a0"/>
    <w:uiPriority w:val="99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4">
    <w:name w:val="Знак1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3">
    <w:name w:val="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5">
    <w:name w:val="Знак Знак Знак Знак Знак Знак Знак1"/>
    <w:basedOn w:val="a0"/>
    <w:uiPriority w:val="99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 Знак Знак Знак Знак Знак Знак Знак Знак Знак Знак Знак Знак Знак Знак Знак1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0"/>
    <w:uiPriority w:val="99"/>
    <w:qFormat/>
    <w:pPr>
      <w:spacing w:after="0" w:line="360" w:lineRule="auto"/>
      <w:ind w:firstLine="709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ar-SA"/>
    </w:rPr>
  </w:style>
  <w:style w:type="paragraph" w:customStyle="1" w:styleId="2f3">
    <w:name w:val="Знак2"/>
    <w:basedOn w:val="a0"/>
    <w:uiPriority w:val="99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0"/>
    <w:uiPriority w:val="99"/>
    <w:qFormat/>
    <w:pPr>
      <w:spacing w:after="0" w:line="322" w:lineRule="atLeast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221">
    <w:name w:val="Основной текст 22"/>
    <w:basedOn w:val="a0"/>
    <w:uiPriority w:val="99"/>
    <w:qFormat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_Маркированный Знак Знак"/>
    <w:link w:val="S0"/>
    <w:uiPriority w:val="99"/>
    <w:rPr>
      <w:sz w:val="24"/>
      <w:szCs w:val="24"/>
    </w:rPr>
  </w:style>
  <w:style w:type="paragraph" w:customStyle="1" w:styleId="S0">
    <w:name w:val="S_Маркированный"/>
    <w:basedOn w:val="a"/>
    <w:link w:val="S"/>
    <w:uiPriority w:val="99"/>
    <w:qFormat/>
    <w:pPr>
      <w:numPr>
        <w:numId w:val="0"/>
      </w:numPr>
      <w:ind w:firstLine="709"/>
      <w:contextualSpacing w:val="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0">
    <w:name w:val="Обычный+14п"/>
    <w:basedOn w:val="ad"/>
    <w:uiPriority w:val="99"/>
    <w:qFormat/>
    <w:pPr>
      <w:spacing w:after="0"/>
      <w:ind w:firstLine="360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43">
    <w:name w:val="ЗаголовокГаля4"/>
    <w:basedOn w:val="a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4">
    <w:name w:val="ТекстГаля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Галя2"/>
    <w:basedOn w:val="affff1"/>
    <w:qFormat/>
    <w:pPr>
      <w:widowControl w:val="0"/>
      <w:numPr>
        <w:numId w:val="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5">
    <w:name w:val="Название таблицы"/>
    <w:basedOn w:val="a0"/>
    <w:qFormat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-">
    <w:name w:val="текст таблицы-цифры"/>
    <w:basedOn w:val="a0"/>
    <w:qFormat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Cs w:val="32"/>
      <w:lang w:eastAsia="ru-RU"/>
    </w:rPr>
  </w:style>
  <w:style w:type="paragraph" w:customStyle="1" w:styleId="-0">
    <w:name w:val="текст таблицы-полужирный"/>
    <w:basedOn w:val="a0"/>
    <w:qFormat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affff6">
    <w:name w:val="текст таблицы"/>
    <w:basedOn w:val="a0"/>
    <w:qFormat/>
    <w:pPr>
      <w:keepNext/>
      <w:spacing w:before="120" w:after="120" w:line="240" w:lineRule="auto"/>
      <w:ind w:left="113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nformat">
    <w:name w:val="Con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0"/>
    <w:qFormat/>
    <w:pPr>
      <w:tabs>
        <w:tab w:val="left" w:pos="4748"/>
        <w:tab w:val="left" w:pos="6449"/>
      </w:tabs>
      <w:spacing w:after="0" w:line="240" w:lineRule="auto"/>
      <w:ind w:left="70" w:firstLine="7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с отступом 21"/>
    <w:basedOn w:val="a0"/>
    <w:qFormat/>
    <w:pPr>
      <w:spacing w:after="0" w:line="240" w:lineRule="auto"/>
      <w:ind w:firstLine="851"/>
      <w:jc w:val="both"/>
    </w:pPr>
    <w:rPr>
      <w:rFonts w:ascii="NTTimes/Cyrillic" w:eastAsia="Times New Roman" w:hAnsi="NTTimes/Cyrillic" w:cs="Times New Roman"/>
      <w:i/>
      <w:sz w:val="28"/>
      <w:szCs w:val="20"/>
      <w:lang w:eastAsia="ru-RU"/>
    </w:rPr>
  </w:style>
  <w:style w:type="paragraph" w:customStyle="1" w:styleId="1f7">
    <w:name w:val="Обычный1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7">
    <w:name w:val="приложение"/>
    <w:basedOn w:val="a0"/>
    <w:qFormat/>
    <w:pPr>
      <w:shd w:val="clear" w:color="auto" w:fill="FFFFFF"/>
      <w:spacing w:after="0" w:line="240" w:lineRule="auto"/>
      <w:ind w:right="106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f8">
    <w:name w:val="заголовок прилож Знак"/>
    <w:link w:val="affff9"/>
    <w:rPr>
      <w:b/>
      <w:bCs/>
      <w:color w:val="000000"/>
      <w:sz w:val="28"/>
      <w:szCs w:val="28"/>
      <w:shd w:val="clear" w:color="auto" w:fill="FFFFFF"/>
    </w:rPr>
  </w:style>
  <w:style w:type="paragraph" w:customStyle="1" w:styleId="affff9">
    <w:name w:val="заголовок прилож"/>
    <w:basedOn w:val="a0"/>
    <w:link w:val="affff8"/>
    <w:qFormat/>
    <w:pPr>
      <w:shd w:val="clear" w:color="auto" w:fill="FFFFFF"/>
      <w:spacing w:after="0" w:line="240" w:lineRule="auto"/>
      <w:ind w:right="106"/>
      <w:jc w:val="center"/>
    </w:pPr>
    <w:rPr>
      <w:b/>
      <w:bCs/>
      <w:color w:val="000000"/>
      <w:sz w:val="28"/>
      <w:szCs w:val="28"/>
    </w:rPr>
  </w:style>
  <w:style w:type="paragraph" w:customStyle="1" w:styleId="BodyText21">
    <w:name w:val="Body Text 21"/>
    <w:basedOn w:val="a0"/>
    <w:qFormat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a">
    <w:name w:val="стиль текста"/>
    <w:basedOn w:val="afb"/>
    <w:qFormat/>
    <w:pPr>
      <w:spacing w:before="100" w:beforeAutospacing="1" w:after="100" w:afterAutospacing="1"/>
      <w:ind w:left="0"/>
    </w:pPr>
    <w:rPr>
      <w:rFonts w:ascii="Arial Unicode MS" w:eastAsia="Arial Unicode MS" w:hAnsi="Arial Unicode MS"/>
    </w:rPr>
  </w:style>
  <w:style w:type="paragraph" w:customStyle="1" w:styleId="font5">
    <w:name w:val="font5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">
    <w:name w:val="xl2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">
    <w:name w:val="xl2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1">
    <w:name w:val="xl3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0"/>
    <w:qFormat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4">
    <w:name w:val="xl3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35">
    <w:name w:val="xl3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6">
    <w:name w:val="xl3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7">
    <w:name w:val="xl3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11">
    <w:name w:val="Стиль11"/>
    <w:basedOn w:val="a0"/>
    <w:qFormat/>
    <w:pPr>
      <w:numPr>
        <w:numId w:val="4"/>
      </w:numPr>
      <w:tabs>
        <w:tab w:val="num" w:pos="-5400"/>
      </w:tabs>
      <w:spacing w:after="0" w:line="240" w:lineRule="auto"/>
      <w:ind w:left="126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22">
    <w:name w:val="Стиль22"/>
    <w:basedOn w:val="11"/>
    <w:qFormat/>
  </w:style>
  <w:style w:type="paragraph" w:customStyle="1" w:styleId="1f8">
    <w:name w:val="Нижний колонтитул1"/>
    <w:basedOn w:val="a0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4889C"/>
      <w:sz w:val="19"/>
      <w:szCs w:val="19"/>
      <w:lang w:eastAsia="ru-RU"/>
    </w:rPr>
  </w:style>
  <w:style w:type="paragraph" w:customStyle="1" w:styleId="1f9">
    <w:name w:val="Уровень 1"/>
    <w:basedOn w:val="1f2"/>
    <w:qFormat/>
    <w:pPr>
      <w:outlineLvl w:val="0"/>
    </w:pPr>
    <w:rPr>
      <w:sz w:val="24"/>
      <w:szCs w:val="24"/>
    </w:rPr>
  </w:style>
  <w:style w:type="character" w:customStyle="1" w:styleId="affffb">
    <w:name w:val="Стиль приложения Знак"/>
    <w:link w:val="affffc"/>
    <w:rPr>
      <w:b/>
      <w:bCs/>
      <w:color w:val="000000"/>
      <w:sz w:val="28"/>
      <w:szCs w:val="28"/>
      <w:shd w:val="clear" w:color="auto" w:fill="FFFFFF"/>
    </w:rPr>
  </w:style>
  <w:style w:type="paragraph" w:customStyle="1" w:styleId="affffc">
    <w:name w:val="Стиль приложения"/>
    <w:basedOn w:val="affff9"/>
    <w:link w:val="affffb"/>
    <w:qFormat/>
  </w:style>
  <w:style w:type="paragraph" w:customStyle="1" w:styleId="rvps698660">
    <w:name w:val="rvps698660"/>
    <w:basedOn w:val="a0"/>
    <w:qFormat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Стиль112 Знак"/>
    <w:link w:val="1120"/>
    <w:rPr>
      <w:b/>
      <w:bCs/>
      <w:sz w:val="28"/>
      <w:szCs w:val="28"/>
      <w:shd w:val="clear" w:color="auto" w:fill="FFFFFF"/>
    </w:rPr>
  </w:style>
  <w:style w:type="paragraph" w:customStyle="1" w:styleId="1120">
    <w:name w:val="Стиль112"/>
    <w:basedOn w:val="a0"/>
    <w:link w:val="112"/>
    <w:qFormat/>
    <w:pPr>
      <w:shd w:val="clear" w:color="auto" w:fill="FFFFFF"/>
      <w:spacing w:after="0" w:line="240" w:lineRule="auto"/>
      <w:jc w:val="center"/>
      <w:outlineLvl w:val="1"/>
    </w:pPr>
    <w:rPr>
      <w:b/>
      <w:bCs/>
      <w:sz w:val="28"/>
      <w:szCs w:val="28"/>
    </w:rPr>
  </w:style>
  <w:style w:type="paragraph" w:customStyle="1" w:styleId="111">
    <w:name w:val="Стиль111"/>
    <w:basedOn w:val="a0"/>
    <w:qFormat/>
    <w:pPr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63">
    <w:name w:val="xl63"/>
    <w:basedOn w:val="a0"/>
    <w:uiPriority w:val="99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qFormat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2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qFormat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 w:line="240" w:lineRule="auto"/>
      <w:ind w:firstLine="1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1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qFormat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0"/>
    <w:uiPriority w:val="99"/>
    <w:qFormat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0"/>
    <w:uiPriority w:val="99"/>
    <w:qFormat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0"/>
    <w:uiPriority w:val="99"/>
    <w:qFormat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uiPriority w:val="99"/>
    <w:qFormat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BodyTextIndentChar1">
    <w:name w:val="Body Text Indent Char1"/>
    <w:link w:val="2f4"/>
    <w:semiHidden/>
    <w:rPr>
      <w:rFonts w:ascii="TimesET" w:hAnsi="TimesET"/>
    </w:rPr>
  </w:style>
  <w:style w:type="paragraph" w:customStyle="1" w:styleId="2f4">
    <w:name w:val="Основной текст с отступом2"/>
    <w:basedOn w:val="a0"/>
    <w:link w:val="BodyTextIndentChar1"/>
    <w:semiHidden/>
    <w:qFormat/>
    <w:pPr>
      <w:spacing w:after="0" w:line="240" w:lineRule="auto"/>
      <w:ind w:firstLine="720"/>
      <w:jc w:val="both"/>
    </w:pPr>
    <w:rPr>
      <w:rFonts w:ascii="TimesET" w:hAnsi="TimesET"/>
    </w:rPr>
  </w:style>
  <w:style w:type="paragraph" w:customStyle="1" w:styleId="39">
    <w:name w:val="ОИП 3"/>
    <w:basedOn w:val="a0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color w:val="002060"/>
      <w:sz w:val="28"/>
      <w:szCs w:val="28"/>
      <w:lang w:eastAsia="ru-RU"/>
    </w:rPr>
  </w:style>
  <w:style w:type="paragraph" w:customStyle="1" w:styleId="44">
    <w:name w:val="Заголовок4"/>
    <w:basedOn w:val="afb"/>
    <w:qFormat/>
    <w:pPr>
      <w:ind w:left="0" w:firstLine="708"/>
      <w:jc w:val="both"/>
    </w:pPr>
    <w:rPr>
      <w:iCs/>
      <w:sz w:val="28"/>
      <w:szCs w:val="28"/>
    </w:rPr>
  </w:style>
  <w:style w:type="paragraph" w:customStyle="1" w:styleId="Style60">
    <w:name w:val="Style6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5">
    <w:name w:val="Знак2 Знак Знак Знак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30">
    <w:name w:val="Основной текст 23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0">
    <w:name w:val="Основной текст 24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d">
    <w:name w:val="footnote reference"/>
    <w:uiPriority w:val="99"/>
    <w:unhideWhenUsed/>
    <w:rPr>
      <w:vertAlign w:val="superscript"/>
    </w:rPr>
  </w:style>
  <w:style w:type="character" w:styleId="affffe">
    <w:name w:val="annotation reference"/>
    <w:uiPriority w:val="99"/>
    <w:unhideWhenUsed/>
    <w:rPr>
      <w:sz w:val="16"/>
      <w:szCs w:val="16"/>
    </w:rPr>
  </w:style>
  <w:style w:type="character" w:styleId="afffff">
    <w:name w:val="endnote reference"/>
    <w:uiPriority w:val="99"/>
    <w:unhideWhenUsed/>
    <w:rPr>
      <w:vertAlign w:val="superscript"/>
    </w:rPr>
  </w:style>
  <w:style w:type="character" w:customStyle="1" w:styleId="FontStyle16">
    <w:name w:val="Font Style16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1fa">
    <w:name w:val="Верхний колонтитул Знак1"/>
    <w:uiPriority w:val="99"/>
    <w:semiHidden/>
    <w:rPr>
      <w:sz w:val="24"/>
      <w:szCs w:val="24"/>
    </w:rPr>
  </w:style>
  <w:style w:type="character" w:customStyle="1" w:styleId="1fb">
    <w:name w:val="Нижний колонтитул Знак1"/>
    <w:uiPriority w:val="99"/>
    <w:semiHidden/>
    <w:rPr>
      <w:sz w:val="24"/>
      <w:szCs w:val="24"/>
    </w:rPr>
  </w:style>
  <w:style w:type="character" w:customStyle="1" w:styleId="1fc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character" w:customStyle="1" w:styleId="b-serp-urlitem1">
    <w:name w:val="b-serp-url__item1"/>
  </w:style>
  <w:style w:type="character" w:customStyle="1" w:styleId="b-serp-urlmark1">
    <w:name w:val="b-serp-url__mark1"/>
  </w:style>
  <w:style w:type="character" w:customStyle="1" w:styleId="213">
    <w:name w:val="Основной текст 2 Знак1"/>
    <w:uiPriority w:val="99"/>
    <w:semiHidden/>
    <w:rPr>
      <w:sz w:val="24"/>
      <w:szCs w:val="24"/>
    </w:rPr>
  </w:style>
  <w:style w:type="paragraph" w:styleId="affe">
    <w:name w:val="No Spacing"/>
    <w:link w:val="affd"/>
    <w:qFormat/>
    <w:pPr>
      <w:spacing w:after="0" w:line="240" w:lineRule="auto"/>
    </w:pPr>
    <w:rPr>
      <w:rFonts w:ascii="Calibri" w:hAnsi="Calibri"/>
    </w:rPr>
  </w:style>
  <w:style w:type="character" w:customStyle="1" w:styleId="highlight">
    <w:name w:val="highlight"/>
  </w:style>
  <w:style w:type="character" w:customStyle="1" w:styleId="afffff0">
    <w:name w:val="Гипертекстовая ссылка"/>
    <w:uiPriority w:val="99"/>
    <w:rPr>
      <w:rFonts w:ascii="Times New Roman" w:hAnsi="Times New Roman" w:cs="Times New Roman" w:hint="default"/>
      <w:b/>
      <w:bCs w:val="0"/>
      <w:color w:val="008000"/>
    </w:rPr>
  </w:style>
  <w:style w:type="paragraph" w:styleId="2d">
    <w:name w:val="Body Text Indent 2"/>
    <w:basedOn w:val="a0"/>
    <w:link w:val="2c"/>
    <w:unhideWhenUsed/>
    <w:pPr>
      <w:spacing w:after="120" w:line="480" w:lineRule="auto"/>
      <w:ind w:left="283"/>
    </w:pPr>
    <w:rPr>
      <w:sz w:val="24"/>
      <w:szCs w:val="24"/>
    </w:rPr>
  </w:style>
  <w:style w:type="character" w:customStyle="1" w:styleId="214">
    <w:name w:val="Основной текст с отступом 2 Знак1"/>
    <w:basedOn w:val="a1"/>
    <w:uiPriority w:val="99"/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character" w:customStyle="1" w:styleId="18">
    <w:name w:val="Заголовок Знак1"/>
    <w:link w:val="aff2"/>
    <w:uiPriority w:val="99"/>
    <w:rPr>
      <w:rFonts w:ascii="Cambria" w:eastAsia="Times New Roman" w:hAnsi="Cambria" w:cs="Times New Roman"/>
      <w:b/>
      <w:bCs/>
      <w:sz w:val="32"/>
      <w:szCs w:val="32"/>
    </w:rPr>
  </w:style>
  <w:style w:type="paragraph" w:styleId="36">
    <w:name w:val="Body Text Indent 3"/>
    <w:basedOn w:val="a0"/>
    <w:link w:val="35"/>
    <w:unhideWhenUsed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1"/>
    <w:rPr>
      <w:sz w:val="16"/>
      <w:szCs w:val="16"/>
    </w:rPr>
  </w:style>
  <w:style w:type="character" w:customStyle="1" w:styleId="afffff1">
    <w:name w:val="Цветовое выделение"/>
    <w:uiPriority w:val="99"/>
    <w:rPr>
      <w:b/>
      <w:bCs w:val="0"/>
      <w:color w:val="26282F"/>
      <w:sz w:val="26"/>
    </w:rPr>
  </w:style>
  <w:style w:type="paragraph" w:styleId="34">
    <w:name w:val="Body Text 3"/>
    <w:basedOn w:val="a0"/>
    <w:link w:val="33"/>
    <w:uiPriority w:val="99"/>
    <w:unhideWhenUsed/>
    <w:pPr>
      <w:spacing w:after="120" w:line="240" w:lineRule="auto"/>
    </w:pPr>
    <w:rPr>
      <w:sz w:val="16"/>
      <w:szCs w:val="16"/>
    </w:rPr>
  </w:style>
  <w:style w:type="character" w:customStyle="1" w:styleId="311">
    <w:name w:val="Основной текст 3 Знак1"/>
    <w:basedOn w:val="a1"/>
    <w:uiPriority w:val="99"/>
    <w:rPr>
      <w:sz w:val="16"/>
      <w:szCs w:val="16"/>
    </w:rPr>
  </w:style>
  <w:style w:type="character" w:customStyle="1" w:styleId="text">
    <w:name w:val="text"/>
  </w:style>
  <w:style w:type="paragraph" w:styleId="aff8">
    <w:name w:val="Body Text First Indent"/>
    <w:basedOn w:val="ad"/>
    <w:link w:val="aff7"/>
    <w:unhideWhenUsed/>
    <w:pPr>
      <w:spacing w:after="0"/>
      <w:ind w:firstLine="360"/>
    </w:pPr>
    <w:rPr>
      <w:rFonts w:asciiTheme="minorHAnsi" w:eastAsiaTheme="minorHAnsi" w:hAnsiTheme="minorHAnsi" w:cstheme="minorBidi"/>
      <w:b w:val="0"/>
      <w:sz w:val="22"/>
      <w:szCs w:val="22"/>
    </w:rPr>
  </w:style>
  <w:style w:type="character" w:customStyle="1" w:styleId="1fd">
    <w:name w:val="Красная строка Знак1"/>
    <w:basedOn w:val="ae"/>
  </w:style>
  <w:style w:type="character" w:customStyle="1" w:styleId="2a">
    <w:name w:val="Основной текст Знак2"/>
    <w:link w:val="ad"/>
    <w:rPr>
      <w:rFonts w:ascii="Pragmatica" w:eastAsia="Times New Roman" w:hAnsi="Pragmatica" w:cs="Times New Roman"/>
      <w:b/>
      <w:sz w:val="20"/>
      <w:szCs w:val="20"/>
    </w:rPr>
  </w:style>
  <w:style w:type="character" w:customStyle="1" w:styleId="fontstyle14">
    <w:name w:val="fontstyle14"/>
    <w:uiPriority w:val="99"/>
    <w:rPr>
      <w:rFonts w:ascii="Times New Roman" w:hAnsi="Times New Roman" w:cs="Times New Roman" w:hint="default"/>
      <w:b/>
      <w:bCs/>
    </w:rPr>
  </w:style>
  <w:style w:type="paragraph" w:styleId="aff6">
    <w:name w:val="Subtitle"/>
    <w:basedOn w:val="a0"/>
    <w:next w:val="a0"/>
    <w:link w:val="aff5"/>
    <w:uiPriority w:val="11"/>
    <w:qFormat/>
    <w:pPr>
      <w:numPr>
        <w:ilvl w:val="1"/>
      </w:numPr>
      <w:spacing w:after="0" w:line="240" w:lineRule="auto"/>
    </w:pPr>
    <w:rPr>
      <w:b/>
      <w:sz w:val="24"/>
    </w:rPr>
  </w:style>
  <w:style w:type="character" w:customStyle="1" w:styleId="1fe">
    <w:name w:val="Подзаголовок Знак1"/>
    <w:basedOn w:val="a1"/>
    <w:rPr>
      <w:rFonts w:eastAsiaTheme="minorEastAsia"/>
      <w:color w:val="5A5A5A" w:themeColor="text1" w:themeTint="A5"/>
      <w:spacing w:val="15"/>
    </w:rPr>
  </w:style>
  <w:style w:type="paragraph" w:styleId="aff1">
    <w:name w:val="endnote text"/>
    <w:basedOn w:val="a0"/>
    <w:link w:val="aff0"/>
    <w:uiPriority w:val="99"/>
    <w:unhideWhenUsed/>
    <w:pPr>
      <w:spacing w:after="0" w:line="240" w:lineRule="auto"/>
    </w:pPr>
    <w:rPr>
      <w:rFonts w:ascii="Calibri" w:hAnsi="Calibri"/>
    </w:rPr>
  </w:style>
  <w:style w:type="character" w:customStyle="1" w:styleId="1ff">
    <w:name w:val="Текст концевой сноски Знак1"/>
    <w:basedOn w:val="a1"/>
    <w:uiPriority w:val="99"/>
    <w:rPr>
      <w:sz w:val="20"/>
      <w:szCs w:val="20"/>
    </w:rPr>
  </w:style>
  <w:style w:type="character" w:customStyle="1" w:styleId="apple-style-span">
    <w:name w:val="apple-style-span"/>
  </w:style>
  <w:style w:type="paragraph" w:styleId="affa">
    <w:name w:val="Plain Text"/>
    <w:basedOn w:val="a0"/>
    <w:link w:val="aff9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ff0">
    <w:name w:val="Текст Знак1"/>
    <w:basedOn w:val="a1"/>
    <w:uiPriority w:val="99"/>
    <w:rPr>
      <w:rFonts w:ascii="Consolas" w:hAnsi="Consolas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styleId="affc">
    <w:name w:val="annotation subject"/>
    <w:basedOn w:val="aff"/>
    <w:next w:val="aff"/>
    <w:link w:val="affb"/>
    <w:uiPriority w:val="99"/>
    <w:unhideWhenUsed/>
    <w:rPr>
      <w:b/>
      <w:bCs/>
    </w:rPr>
  </w:style>
  <w:style w:type="character" w:customStyle="1" w:styleId="1ff1">
    <w:name w:val="Тема примечания Знак1"/>
    <w:basedOn w:val="1b"/>
    <w:rPr>
      <w:b/>
      <w:bCs/>
      <w:sz w:val="20"/>
      <w:szCs w:val="20"/>
    </w:rPr>
  </w:style>
  <w:style w:type="table" w:customStyle="1" w:styleId="113">
    <w:name w:val="Сетка таблицы11"/>
    <w:basedOn w:val="a2"/>
    <w:next w:val="ac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2">
    <w:name w:val="Комментарий"/>
    <w:basedOn w:val="afffe"/>
    <w:next w:val="a0"/>
    <w:uiPriority w:val="99"/>
    <w:qFormat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ff3">
    <w:name w:val="Информация об изменениях документа"/>
    <w:basedOn w:val="afffff2"/>
    <w:next w:val="a0"/>
    <w:uiPriority w:val="99"/>
    <w:qFormat/>
    <w:pPr>
      <w:spacing w:before="0"/>
    </w:pPr>
    <w:rPr>
      <w:i/>
      <w:iCs/>
    </w:rPr>
  </w:style>
  <w:style w:type="numbering" w:customStyle="1" w:styleId="20">
    <w:name w:val="Стиль2"/>
    <w:pPr>
      <w:numPr>
        <w:numId w:val="5"/>
      </w:numPr>
    </w:pPr>
  </w:style>
  <w:style w:type="numbering" w:customStyle="1" w:styleId="215">
    <w:name w:val="Стиль21"/>
  </w:style>
  <w:style w:type="table" w:customStyle="1" w:styleId="216">
    <w:name w:val="Средняя сетка 2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numbering" w:customStyle="1" w:styleId="2f6">
    <w:name w:val="Нет списка2"/>
    <w:next w:val="a3"/>
    <w:uiPriority w:val="99"/>
    <w:semiHidden/>
    <w:unhideWhenUsed/>
  </w:style>
  <w:style w:type="table" w:customStyle="1" w:styleId="2f7">
    <w:name w:val="Сетка таблицы2"/>
    <w:basedOn w:val="a2"/>
    <w:next w:val="ac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3"/>
    <w:uiPriority w:val="99"/>
    <w:semiHidden/>
    <w:unhideWhenUsed/>
  </w:style>
  <w:style w:type="numbering" w:customStyle="1" w:styleId="231">
    <w:name w:val="Стиль23"/>
  </w:style>
  <w:style w:type="numbering" w:customStyle="1" w:styleId="2110">
    <w:name w:val="Стиль211"/>
  </w:style>
  <w:style w:type="table" w:customStyle="1" w:styleId="2111">
    <w:name w:val="Средняя сетка 21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23">
    <w:name w:val="Средняя сетка 22"/>
    <w:basedOn w:val="a2"/>
    <w:unhideWhenUsed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1ff2">
    <w:name w:val="Знак Знак Знак Знак Знак Знак Знак Знак Знак Знак Знак Знак Знак1"/>
    <w:basedOn w:val="a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3a">
    <w:name w:val="Сетка таблицы3"/>
    <w:basedOn w:val="a2"/>
    <w:next w:val="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0">
    <w:name w:val="Основной текст 25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9">
    <w:name w:val="p49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1">
    <w:name w:val="Основной текст 251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b">
    <w:name w:val="Основной текст Знак3"/>
    <w:semiHidden/>
    <w:rPr>
      <w:rFonts w:ascii="Pragmatica" w:hAnsi="Pragmatica"/>
      <w:b/>
    </w:rPr>
  </w:style>
  <w:style w:type="table" w:customStyle="1" w:styleId="232">
    <w:name w:val="Средняя сетка 23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">
    <w:name w:val="Средняя сетка 24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120">
    <w:name w:val="Средняя сетка 212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310">
    <w:name w:val="Средняя сетка 23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0">
    <w:name w:val="Средняя сетка 24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52">
    <w:name w:val="Средняя сетка 25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2">
    <w:name w:val="Средняя сетка 242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60">
    <w:name w:val="Средняя сетка 26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3">
    <w:name w:val="Средняя сетка 243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numbering" w:customStyle="1" w:styleId="244">
    <w:name w:val="Стиль24"/>
  </w:style>
  <w:style w:type="numbering" w:customStyle="1" w:styleId="2121">
    <w:name w:val="Стиль212"/>
  </w:style>
  <w:style w:type="numbering" w:customStyle="1" w:styleId="2311">
    <w:name w:val="Стиль231"/>
  </w:style>
  <w:style w:type="numbering" w:customStyle="1" w:styleId="2411">
    <w:name w:val="Стиль241"/>
  </w:style>
  <w:style w:type="numbering" w:customStyle="1" w:styleId="21210">
    <w:name w:val="Стиль2121"/>
  </w:style>
  <w:style w:type="numbering" w:customStyle="1" w:styleId="23110">
    <w:name w:val="Стиль2311"/>
  </w:style>
  <w:style w:type="table" w:customStyle="1" w:styleId="217">
    <w:name w:val="Сетка таблицы21"/>
    <w:basedOn w:val="a2"/>
    <w:next w:val="ac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4">
    <w:name w:val="Сетка таблицы22"/>
    <w:basedOn w:val="a2"/>
    <w:next w:val="ac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c">
    <w:name w:val="Нет списка3"/>
    <w:next w:val="a3"/>
    <w:uiPriority w:val="99"/>
    <w:semiHidden/>
    <w:unhideWhenUsed/>
  </w:style>
  <w:style w:type="table" w:customStyle="1" w:styleId="45">
    <w:name w:val="Сетка таблицы4"/>
    <w:basedOn w:val="a2"/>
    <w:next w:val="ac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3">
    <w:name w:val="Сетка таблицы23"/>
    <w:basedOn w:val="a2"/>
    <w:next w:val="ac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2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6">
    <w:name w:val="Font Style26"/>
    <w:uiPriority w:val="99"/>
    <w:rPr>
      <w:rFonts w:ascii="Times New Roman" w:hAnsi="Times New Roman"/>
      <w:sz w:val="26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table" w:customStyle="1" w:styleId="120">
    <w:name w:val="Сетка таблицы12"/>
    <w:basedOn w:val="a2"/>
    <w:next w:val="ac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4">
    <w:name w:val="Revision"/>
    <w:hidden/>
    <w:uiPriority w:val="99"/>
    <w:semiHidden/>
    <w:pPr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://www.admugansk.ru/uploads/2020/02/245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http://www.admugansk.ru/uploads/2019/12/148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617F8-DE86-4FA3-8963-FF073361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11707</Words>
  <Characters>66732</Characters>
  <Application>Microsoft Office Word</Application>
  <DocSecurity>0</DocSecurity>
  <Lines>556</Lines>
  <Paragraphs>156</Paragraphs>
  <ScaleCrop>false</ScaleCrop>
  <Company>SPecialiST RePack</Company>
  <LinksUpToDate>false</LinksUpToDate>
  <CharactersWithSpaces>78283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Лали Зурабовна Буркова</dc:creator>
  <cp:keywords/>
  <dc:description/>
  <cp:lastModifiedBy>Татьяна Андреевна Науменко</cp:lastModifiedBy>
  <cp:revision>34</cp:revision>
  <dcterms:created xsi:type="dcterms:W3CDTF">2024-10-24T04:58:00Z</dcterms:created>
  <dcterms:modified xsi:type="dcterms:W3CDTF">2025-11-11T11:09:00Z</dcterms:modified>
</cp:coreProperties>
</file>