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/>
      <w:bookmarkStart w:id="0" w:name="_Hlk58494283"/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2</w:t>
      </w:r>
      <w:r/>
    </w:p>
    <w:p>
      <w:pPr>
        <w:ind w:left="567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left="567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left="567" w:right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/>
    </w:p>
    <w:p>
      <w:pPr>
        <w:ind w:left="567" w:right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типовому 10-ти дневному муниципальному основному меню для организации питания детей в возрасте 7-11 лет, </w:t>
      </w:r>
      <w:r/>
    </w:p>
    <w:p>
      <w:pPr>
        <w:ind w:left="567" w:right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обучающихся в общеобразовательных организациях </w:t>
      </w:r>
      <w:r/>
    </w:p>
    <w:p>
      <w:pPr>
        <w:ind w:left="567" w:right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– Югры</w:t>
      </w:r>
      <w:r/>
    </w:p>
    <w:p>
      <w:pPr>
        <w:ind w:left="567" w:right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Основные направления реализации принципов здорового питания, установленных Федеральным законом от 1 марта 2020 г. № 47-ФЗ, при нормировании питания</w:t>
      </w:r>
      <w:r/>
    </w:p>
    <w:p>
      <w:pPr>
        <w:ind w:firstLine="709"/>
        <w:jc w:val="both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типового меню</w:t>
      </w:r>
      <w:r>
        <w:rPr>
          <w:rFonts w:ascii="Times New Roman" w:hAnsi="Times New Roman" w:cs="Times New Roman"/>
          <w:sz w:val="28"/>
          <w:szCs w:val="28"/>
        </w:rPr>
        <w:t xml:space="preserve"> основного (организованного) питания (далее – основное меню)</w:t>
      </w:r>
      <w:r>
        <w:rPr>
          <w:rFonts w:ascii="Times New Roman" w:hAnsi="Times New Roman" w:cs="Times New Roman"/>
          <w:sz w:val="28"/>
          <w:szCs w:val="28"/>
        </w:rPr>
        <w:t xml:space="preserve"> для обеспечения питанием детей в организованных детских коллективах </w:t>
      </w:r>
      <w:r>
        <w:rPr>
          <w:rFonts w:ascii="Times New Roman" w:hAnsi="Times New Roman" w:cs="Times New Roman"/>
          <w:sz w:val="28"/>
          <w:szCs w:val="28"/>
        </w:rPr>
        <w:t xml:space="preserve">учтены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принципы здорового питания,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1 марта 2020 г. № 47-ФЗ,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основе способов </w:t>
        <w:br/>
        <w:t xml:space="preserve">их реализации, представленных в </w:t>
      </w:r>
      <w:bookmarkStart w:id="1" w:name="_Hlk36190876"/>
      <w:r>
        <w:rPr>
          <w:rFonts w:ascii="Times New Roman" w:hAnsi="Times New Roman" w:cs="Times New Roman"/>
          <w:bCs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рекомендации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практической диетологии в части касающейся организации питания в районах Крайнего Севера и местностей приравненных к ним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/>
    </w:p>
    <w:p>
      <w:pPr>
        <w:jc w:val="both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Принципы здорового питания, установленные </w:t>
      </w:r>
      <w:bookmarkStart w:id="2" w:name="_Hlk117501317"/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iCs/>
          <w:sz w:val="28"/>
          <w:szCs w:val="28"/>
        </w:rPr>
        <w:t xml:space="preserve">1 марта 2020 г. № 47-ФЗ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основе способов их реализации.</w:t>
      </w:r>
      <w:r/>
    </w:p>
    <w:tbl>
      <w:tblPr>
        <w:tblStyle w:val="857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4253"/>
        <w:gridCol w:w="4677"/>
      </w:tblGrid>
      <w:tr>
        <w:trPr>
          <w:trHeight w:val="527"/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/>
            <w:bookmarkStart w:id="3" w:name="_Hlk36636914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Принципы</w:t>
            </w:r>
            <w:r/>
          </w:p>
        </w:tc>
        <w:tc>
          <w:tcPr>
            <w:tcW w:w="4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реализации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натуральных норм обеспечения питанием детей является обязательн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ым. Устанавливаемая учредителями образовательных организаций стоимость питания (независимо от способа организации питания) должна обеспечивать выполнение таких норм и устанавливаемых требований к безопасности и качеству пищевых продуктов для питания детей.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энергетической ценности ежедневного рациона энергозатратам.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химического состава ежедневного рациона физиологическим потребностям человека в макронутриентах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Нормы обеспечения питанием детей должны соответствовать установленным нормам физиологических потребностей в энергии и пищевых веществах</w:t>
            </w:r>
            <w:r>
              <w:rPr>
                <w:rFonts w:ascii="Times New Roman" w:hAnsi="Times New Roman" w:cs="Times New Roman" w:eastAsiaTheme="minorEastAsia"/>
                <w:bCs/>
                <w:sz w:val="28"/>
                <w:szCs w:val="28"/>
              </w:rPr>
              <w:t xml:space="preserve">, в том числе с учётом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Cs/>
                <w:sz w:val="28"/>
                <w:szCs w:val="28"/>
              </w:rPr>
              <w:t xml:space="preserve">социально-демографических, национальных, </w:t>
            </w:r>
            <w:r>
              <w:rPr>
                <w:rFonts w:ascii="Times New Roman" w:hAnsi="Times New Roman" w:cs="Times New Roman" w:eastAsiaTheme="minorEastAsia"/>
                <w:bCs/>
                <w:sz w:val="28"/>
                <w:szCs w:val="28"/>
              </w:rPr>
              <w:t xml:space="preserve">конфессиональных и местных особенностей питания населения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в составе еже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Данное требование должно учитываться исходя из региональных показателей фактического питания населения, характеризующих недостаточное (или избыточное) 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отдельных макро- и микронутриентов (нормы питания в образовательных организациях должны максимально компенсировать проблемы фактического питания населения), а также при установлении требований к безопасности и качеству пищевых продуктов для питания детей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/>
            <w:bookmarkStart w:id="4" w:name="_Hlk3649747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максимально разнообразного здорового питания и оптимального его режима.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целью реализации данного принципа осуществляется разработка типового распределения блюд и продуктов питания норм обеспечения по приемам пищи. </w:t>
            </w:r>
            <w:bookmarkEnd w:id="4"/>
            <w:r/>
            <w:r/>
          </w:p>
        </w:tc>
      </w:tr>
      <w:tr>
        <w:trPr>
          <w:trHeight w:val="1614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технологической обработки и кулинарной обработки пищевых продуктов, обеспечивающих сохранность их исходной пищевой ценности.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Обеспечивается за счет разработки и внедрения нормативов оснащения школьных пищеблоков современным оборудованием, а также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сборников рецептур приготовления блюд на основе современных технологий и с учетом установленных норм обеспечения питанием детей.</w:t>
            </w:r>
            <w:r/>
          </w:p>
        </w:tc>
      </w:tr>
    </w:tbl>
    <w:p>
      <w:pPr>
        <w:ind w:firstLine="709"/>
        <w:jc w:val="both"/>
        <w:spacing w:after="0" w:line="288" w:lineRule="auto"/>
        <w:tabs>
          <w:tab w:val="left" w:pos="2921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88" w:lineRule="auto"/>
        <w:tabs>
          <w:tab w:val="left" w:pos="2921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bookmarkStart w:id="5" w:name="_Toc42631876"/>
      <w:r>
        <w:rPr>
          <w:rFonts w:ascii="Times New Roman" w:hAnsi="Times New Roman" w:cs="Times New Roman"/>
          <w:b/>
          <w:sz w:val="28"/>
          <w:szCs w:val="28"/>
        </w:rPr>
        <w:t xml:space="preserve">Требования к разработке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меню (завтрак, обед) для обеспечения питанием детей, обучающихся в </w:t>
      </w:r>
      <w:bookmarkEnd w:id="5"/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– Югры</w:t>
      </w:r>
      <w:r/>
    </w:p>
    <w:p>
      <w:pPr>
        <w:pStyle w:val="858"/>
        <w:ind w:left="0" w:firstLine="709"/>
        <w:jc w:val="both"/>
        <w:spacing w:after="0"/>
        <w:tabs>
          <w:tab w:val="left" w:pos="993" w:leader="none"/>
        </w:tabs>
        <w:rPr>
          <w:sz w:val="28"/>
          <w:szCs w:val="28"/>
        </w:rPr>
      </w:pPr>
      <w:r/>
      <w:bookmarkStart w:id="6" w:name="_Toc42631877"/>
      <w:r>
        <w:rPr>
          <w:bCs/>
          <w:sz w:val="28"/>
          <w:szCs w:val="28"/>
        </w:rPr>
        <w:t xml:space="preserve">Настоящ</w:t>
      </w:r>
      <w:r>
        <w:rPr>
          <w:bCs/>
          <w:sz w:val="28"/>
          <w:szCs w:val="28"/>
        </w:rPr>
        <w:t xml:space="preserve">ий вариант реализации типового</w:t>
      </w:r>
      <w:r>
        <w:rPr>
          <w:bCs/>
          <w:sz w:val="28"/>
          <w:szCs w:val="28"/>
        </w:rPr>
        <w:t xml:space="preserve"> о</w:t>
      </w:r>
      <w:r>
        <w:rPr>
          <w:bCs/>
          <w:sz w:val="28"/>
          <w:szCs w:val="28"/>
        </w:rPr>
        <w:t xml:space="preserve">сновно</w:t>
      </w:r>
      <w:r>
        <w:rPr>
          <w:bCs/>
          <w:sz w:val="28"/>
          <w:szCs w:val="28"/>
        </w:rPr>
        <w:t xml:space="preserve">го</w:t>
      </w:r>
      <w:r>
        <w:rPr>
          <w:bCs/>
          <w:sz w:val="28"/>
          <w:szCs w:val="28"/>
        </w:rPr>
        <w:t xml:space="preserve"> м</w:t>
      </w:r>
      <w:r>
        <w:rPr>
          <w:bCs/>
          <w:sz w:val="28"/>
          <w:szCs w:val="28"/>
        </w:rPr>
        <w:t xml:space="preserve">еню </w:t>
      </w:r>
      <w:r>
        <w:rPr>
          <w:bCs/>
          <w:sz w:val="28"/>
          <w:szCs w:val="28"/>
        </w:rPr>
        <w:t xml:space="preserve">разработан для</w:t>
      </w:r>
      <w:r>
        <w:rPr>
          <w:bCs/>
          <w:sz w:val="28"/>
          <w:szCs w:val="28"/>
        </w:rPr>
        <w:t xml:space="preserve"> обучающихся </w:t>
      </w:r>
      <w:r>
        <w:rPr>
          <w:bCs/>
          <w:sz w:val="28"/>
          <w:szCs w:val="28"/>
        </w:rPr>
        <w:t xml:space="preserve">возрастн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групп</w:t>
      </w:r>
      <w:r>
        <w:rPr>
          <w:bCs/>
          <w:sz w:val="28"/>
          <w:szCs w:val="28"/>
        </w:rPr>
        <w:t xml:space="preserve">ы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7-11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лет в</w:t>
      </w:r>
      <w:r>
        <w:rPr>
          <w:bCs/>
          <w:sz w:val="28"/>
          <w:szCs w:val="28"/>
        </w:rPr>
        <w:t xml:space="preserve"> соответствии с нормам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 физиологических потребностей в энергии и пищевых веществах</w:t>
      </w:r>
      <w:r>
        <w:rPr>
          <w:bCs/>
          <w:sz w:val="28"/>
          <w:szCs w:val="28"/>
        </w:rPr>
        <w:t xml:space="preserve">, при этом:  </w:t>
      </w:r>
      <w:r/>
    </w:p>
    <w:p>
      <w:pPr>
        <w:pStyle w:val="858"/>
        <w:ind w:left="0" w:firstLine="709"/>
        <w:jc w:val="both"/>
        <w:spacing w:after="0"/>
        <w:tabs>
          <w:tab w:val="left" w:pos="993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- нормы физиологической потребности на завтрак и обед учтены по основным пищевым веществам и энергосодержани</w:t>
      </w:r>
      <w:r>
        <w:rPr>
          <w:sz w:val="28"/>
          <w:szCs w:val="28"/>
        </w:rPr>
        <w:t xml:space="preserve">ю в размере 20-25% (на </w:t>
      </w:r>
      <w:r>
        <w:rPr>
          <w:sz w:val="28"/>
          <w:szCs w:val="28"/>
        </w:rPr>
        <w:t xml:space="preserve">завтрак), </w:t>
      </w:r>
      <w:r>
        <w:rPr>
          <w:sz w:val="28"/>
          <w:szCs w:val="28"/>
        </w:rPr>
        <w:t xml:space="preserve">30-35% (на обед)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среднесуточных показателей, установленных СанПиН 2.3/2.4.3590-20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и скорректированными под условия Крайнего Севера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858"/>
        <w:ind w:left="0" w:firstLine="709"/>
        <w:jc w:val="both"/>
        <w:spacing w:after="0"/>
        <w:tabs>
          <w:tab w:val="left" w:pos="993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- учтены проблемы фактического питания населения по результатам исследований структуры питания и пищевого статуса детей и подростков, проведенных ФГБНУ</w:t>
      </w:r>
      <w:r>
        <w:rPr>
          <w:sz w:val="28"/>
          <w:szCs w:val="28"/>
        </w:rPr>
        <w:t xml:space="preserve"> «ФИЦ питания» и отраженные в методических рекомендациях МР 2.4.5.0107-15;</w:t>
      </w:r>
      <w:r>
        <w:rPr>
          <w:sz w:val="28"/>
          <w:szCs w:val="28"/>
        </w:rPr>
      </w:r>
      <w:r/>
    </w:p>
    <w:p>
      <w:pPr>
        <w:pStyle w:val="858"/>
        <w:ind w:left="0" w:firstLine="709"/>
        <w:jc w:val="both"/>
        <w:spacing w:after="0"/>
        <w:tabs>
          <w:tab w:val="left" w:pos="993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- себестоимость основного меню </w:t>
      </w:r>
      <w:r>
        <w:rPr>
          <w:sz w:val="28"/>
          <w:szCs w:val="28"/>
        </w:rPr>
        <w:t xml:space="preserve">рассчитана в</w:t>
      </w:r>
      <w:r>
        <w:rPr>
          <w:sz w:val="28"/>
          <w:szCs w:val="28"/>
        </w:rPr>
        <w:t xml:space="preserve"> двух вариантах,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закупочным и </w:t>
      </w:r>
      <w:r>
        <w:rPr>
          <w:sz w:val="28"/>
          <w:szCs w:val="28"/>
        </w:rPr>
        <w:t xml:space="preserve">среднестатистическим потребительским ценам региона по состоянию на </w:t>
      </w:r>
      <w:r>
        <w:rPr>
          <w:sz w:val="28"/>
          <w:szCs w:val="28"/>
        </w:rPr>
        <w:t xml:space="preserve">июнь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г.;</w:t>
      </w:r>
      <w:r>
        <w:rPr>
          <w:sz w:val="28"/>
          <w:szCs w:val="28"/>
        </w:rPr>
      </w:r>
      <w:r/>
    </w:p>
    <w:p>
      <w:pPr>
        <w:pStyle w:val="858"/>
        <w:ind w:left="0" w:firstLine="709"/>
        <w:jc w:val="both"/>
        <w:spacing w:after="0"/>
        <w:tabs>
          <w:tab w:val="left" w:pos="993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- м</w:t>
      </w:r>
      <w:r>
        <w:rPr>
          <w:sz w:val="28"/>
          <w:szCs w:val="28"/>
        </w:rPr>
        <w:t xml:space="preserve">асса </w:t>
      </w:r>
      <w:r>
        <w:rPr>
          <w:sz w:val="28"/>
          <w:szCs w:val="28"/>
        </w:rPr>
        <w:t xml:space="preserve">порций</w:t>
      </w:r>
      <w:r>
        <w:rPr>
          <w:sz w:val="28"/>
          <w:szCs w:val="28"/>
        </w:rPr>
        <w:t xml:space="preserve">, суммарные массы блюд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в процентном отношении потребления пищевых веществ и энергии по приемам пищи </w:t>
      </w:r>
      <w:bookmarkEnd w:id="6"/>
      <w:r>
        <w:rPr>
          <w:sz w:val="28"/>
          <w:szCs w:val="28"/>
        </w:rPr>
        <w:t xml:space="preserve">установлены </w:t>
      </w:r>
      <w:r>
        <w:rPr>
          <w:sz w:val="28"/>
          <w:szCs w:val="28"/>
        </w:rPr>
        <w:t xml:space="preserve">в пределах показателей, установленных СанПиН 2.3/2.4.3590-20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и скорректированными под условия Крайнего Севера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858"/>
        <w:ind w:left="0" w:firstLine="709"/>
        <w:jc w:val="both"/>
        <w:spacing w:after="0"/>
        <w:tabs>
          <w:tab w:val="left" w:pos="993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- выполнение натуральных норм </w:t>
      </w:r>
      <w:r>
        <w:rPr>
          <w:sz w:val="28"/>
          <w:szCs w:val="28"/>
        </w:rPr>
        <w:t xml:space="preserve">достигнуто с учетом разрешенных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СанПиН 2.3</w:t>
      </w:r>
      <w:r>
        <w:rPr>
          <w:sz w:val="28"/>
          <w:szCs w:val="28"/>
        </w:rPr>
        <w:t xml:space="preserve">/2.4.3590-20</w:t>
      </w:r>
      <w:r>
        <w:rPr>
          <w:sz w:val="28"/>
          <w:szCs w:val="28"/>
        </w:rPr>
        <w:t xml:space="preserve"> замен по группам пищевых продуктов.</w:t>
      </w:r>
      <w:r>
        <w:rPr>
          <w:sz w:val="28"/>
          <w:szCs w:val="28"/>
        </w:rPr>
      </w:r>
      <w:r/>
    </w:p>
    <w:p>
      <w:pPr>
        <w:pStyle w:val="858"/>
        <w:ind w:left="0" w:firstLine="851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8"/>
        <w:ind w:left="0" w:firstLine="851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 разработке </w:t>
      </w:r>
      <w:r>
        <w:rPr>
          <w:sz w:val="28"/>
          <w:szCs w:val="28"/>
        </w:rPr>
        <w:t xml:space="preserve">основного </w:t>
      </w:r>
      <w:r>
        <w:rPr>
          <w:sz w:val="28"/>
          <w:szCs w:val="28"/>
        </w:rPr>
        <w:t xml:space="preserve">меню </w:t>
      </w:r>
      <w:r>
        <w:rPr>
          <w:sz w:val="28"/>
          <w:szCs w:val="28"/>
        </w:rPr>
        <w:t xml:space="preserve">учтены</w:t>
      </w:r>
      <w:r>
        <w:rPr>
          <w:sz w:val="28"/>
          <w:szCs w:val="28"/>
        </w:rPr>
        <w:t xml:space="preserve"> положения </w:t>
        <w:br/>
        <w:t xml:space="preserve">СанПиН 2.3/2.4.3590-20: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«VIII. Особенности организации общественного питания детей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8.1. При формировании рациона здорового питания и меню при организации общественного питания детей в организациях, осуществляющих образовательную деятельность…… должны соблюдаться следующие требования: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8.1.4. </w:t>
      </w:r>
      <w:r>
        <w:rPr>
          <w:rFonts w:ascii="Times New Roman" w:hAnsi="Times New Roman" w:cs="Times New Roman"/>
          <w:i/>
          <w:sz w:val="28"/>
          <w:szCs w:val="28"/>
        </w:rPr>
        <w:t xml:space="preserve">М</w:t>
      </w:r>
      <w:r>
        <w:rPr>
          <w:rFonts w:ascii="Times New Roman" w:hAnsi="Times New Roman" w:cs="Times New Roman"/>
          <w:i/>
          <w:sz w:val="28"/>
          <w:szCs w:val="28"/>
        </w:rPr>
        <w:t xml:space="preserve">еню разрабатывается на период не менее двух недель (с учетом режима организации) для каждой возрастной группы детей (в приложении 8 к настоящим Правилам). 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Питание детей должно осуществляться в соответствии с утвержденным </w:t>
      </w:r>
      <w:r>
        <w:rPr>
          <w:rFonts w:ascii="Times New Roman" w:hAnsi="Times New Roman" w:cs="Times New Roman"/>
          <w:i/>
          <w:sz w:val="28"/>
          <w:szCs w:val="28"/>
        </w:rPr>
        <w:t xml:space="preserve">основным </w:t>
      </w:r>
      <w:r>
        <w:rPr>
          <w:rFonts w:ascii="Times New Roman" w:hAnsi="Times New Roman" w:cs="Times New Roman"/>
          <w:i/>
          <w:sz w:val="28"/>
          <w:szCs w:val="28"/>
        </w:rPr>
        <w:t xml:space="preserve">меню.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Допускается замена одного вида пищевой продукции, блюд и кулинарных изделий на иные виды пищевой продукции, блюд и кулинарных изделий в соответствии с таблицей замены пищевой продукции с учетом ее пищевой ценности (приложение № 11 к настоящим Правилам).</w:t>
      </w:r>
      <w:r/>
    </w:p>
    <w:p>
      <w:pPr>
        <w:ind w:firstLine="567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8.1.5. </w:t>
      </w:r>
      <w:r>
        <w:rPr>
          <w:rFonts w:ascii="Times New Roman" w:hAnsi="Times New Roman" w:cs="Times New Roman"/>
          <w:i/>
          <w:sz w:val="28"/>
          <w:szCs w:val="28"/>
        </w:rPr>
        <w:t xml:space="preserve">Меню допускается корректировать с учетом климатогеографических, национальных, конфессиональных и территориальных особенностей питания населения, при условии соблюдения требований к содержанию и соотношению в рационе питания детей основных пищевых веществ».</w:t>
      </w:r>
      <w:r/>
    </w:p>
    <w:p>
      <w:pPr>
        <w:ind w:firstLine="709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9"/>
        <w:jc w:val="both"/>
        <w:spacing w:after="0"/>
        <w:tabs>
          <w:tab w:val="left" w:pos="993" w:leader="none"/>
          <w:tab w:val="left" w:pos="1134" w:leader="none"/>
          <w:tab w:val="left" w:pos="230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Структура меню, номенклатура блюд и используемых продуктов согласована с представителями Заказчика и учитывает положения Методических рекомендаций Роспотребнадзора 2.4.0179-20 </w:t>
      </w:r>
      <w:r>
        <w:rPr>
          <w:rFonts w:ascii="Times New Roman" w:hAnsi="Times New Roman" w:cs="Times New Roman"/>
          <w:iCs/>
          <w:sz w:val="28"/>
          <w:szCs w:val="28"/>
        </w:rPr>
        <w:t xml:space="preserve">«</w:t>
      </w:r>
      <w:r>
        <w:rPr>
          <w:rFonts w:ascii="Times New Roman" w:hAnsi="Times New Roman" w:cs="Times New Roman"/>
          <w:iCs/>
          <w:sz w:val="28"/>
          <w:szCs w:val="28"/>
        </w:rPr>
        <w:t xml:space="preserve">Рекомендации по организации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питания обучающихся в общеобразовательных организациях</w:t>
      </w:r>
      <w:r>
        <w:rPr>
          <w:rFonts w:ascii="Times New Roman" w:hAnsi="Times New Roman" w:cs="Times New Roman"/>
          <w:iCs/>
          <w:sz w:val="28"/>
          <w:szCs w:val="28"/>
        </w:rPr>
        <w:t xml:space="preserve">»</w:t>
      </w:r>
      <w:r>
        <w:rPr>
          <w:rFonts w:ascii="Times New Roman" w:hAnsi="Times New Roman" w:cs="Times New Roman"/>
          <w:iCs/>
          <w:sz w:val="28"/>
          <w:szCs w:val="28"/>
        </w:rPr>
        <w:t xml:space="preserve"> (п.2.1. – здоровое питание предусматривает первый приём пищи ребенком дома с учетом режим дня и организации образовательного процесса)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/>
    </w:p>
    <w:p>
      <w:pPr>
        <w:pStyle w:val="858"/>
        <w:ind w:left="90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8"/>
        <w:ind w:left="0" w:firstLine="709"/>
        <w:jc w:val="both"/>
        <w:spacing w:after="0"/>
        <w:rPr>
          <w:rFonts w:eastAsiaTheme="minorHAnsi"/>
          <w:b/>
          <w:i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3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.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Особенности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питания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и обоснование потребности в энергии и пищевых веществах для обучающихся общеобразовательных организаций, проживающих в условиях Крайнего Севера (пришлое население)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Критерии потребности физиологических потребностей в энергии и пищевых веществах определенны </w:t>
      </w:r>
      <w:r>
        <w:rPr>
          <w:rFonts w:ascii="Times New Roman" w:hAnsi="Times New Roman" w:cs="Times New Roman"/>
          <w:iCs/>
          <w:sz w:val="28"/>
          <w:szCs w:val="28"/>
        </w:rPr>
        <w:t xml:space="preserve">в СанПиН 2.3/2.4.3590-20 и </w:t>
      </w:r>
      <w:r>
        <w:rPr>
          <w:rFonts w:ascii="Times New Roman" w:hAnsi="Times New Roman" w:cs="Times New Roman"/>
          <w:iCs/>
          <w:sz w:val="28"/>
          <w:szCs w:val="28"/>
        </w:rPr>
        <w:t xml:space="preserve">Методически</w:t>
      </w:r>
      <w:r>
        <w:rPr>
          <w:rFonts w:ascii="Times New Roman" w:hAnsi="Times New Roman" w:cs="Times New Roman"/>
          <w:iCs/>
          <w:sz w:val="28"/>
          <w:szCs w:val="28"/>
        </w:rPr>
        <w:t xml:space="preserve">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рекомендациях</w:t>
      </w:r>
      <w:r>
        <w:rPr>
          <w:rFonts w:ascii="Times New Roman" w:hAnsi="Times New Roman" w:cs="Times New Roman"/>
          <w:iCs/>
          <w:sz w:val="28"/>
          <w:szCs w:val="28"/>
        </w:rPr>
        <w:t xml:space="preserve"> МР 2.3.1.0253-21 «Нормы физиологических потребностей в энергии и пищевых веществах для различных групп населения Российской Федерации». 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 этом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  <w:t xml:space="preserve"> в СанПиН 2.3/2.4.3590-20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дополнительная потребность в энергосодержании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для проживающих в районах Крайнего Севера</w:t>
      </w:r>
      <w:r>
        <w:rPr>
          <w:rFonts w:ascii="Times New Roman" w:hAnsi="Times New Roman" w:cs="Times New Roman"/>
          <w:iCs/>
          <w:sz w:val="28"/>
          <w:szCs w:val="28"/>
        </w:rPr>
        <w:t xml:space="preserve"> не предусмотрена</w:t>
      </w:r>
      <w:r>
        <w:rPr>
          <w:rFonts w:ascii="Times New Roman" w:hAnsi="Times New Roman" w:cs="Times New Roman"/>
          <w:iCs/>
          <w:sz w:val="28"/>
          <w:szCs w:val="28"/>
        </w:rPr>
        <w:t xml:space="preserve">, а в </w:t>
      </w:r>
      <w:r>
        <w:rPr>
          <w:rFonts w:ascii="Times New Roman" w:hAnsi="Times New Roman" w:cs="Times New Roman"/>
          <w:iCs/>
          <w:sz w:val="28"/>
          <w:szCs w:val="28"/>
        </w:rPr>
        <w:t xml:space="preserve">МР 2.3.1.0253-21 дополнительная потребность в белках, жирах и углеводах и энергосодержание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для проживающих в районах </w:t>
      </w:r>
      <w:r>
        <w:rPr>
          <w:rFonts w:ascii="Times New Roman" w:hAnsi="Times New Roman" w:cs="Times New Roman"/>
          <w:iCs/>
          <w:sz w:val="28"/>
          <w:szCs w:val="28"/>
        </w:rPr>
        <w:t xml:space="preserve">Крайнего Севера</w:t>
      </w:r>
      <w:r>
        <w:rPr>
          <w:rFonts w:ascii="Times New Roman" w:hAnsi="Times New Roman" w:cs="Times New Roman"/>
          <w:iCs/>
          <w:sz w:val="28"/>
          <w:szCs w:val="28"/>
        </w:rPr>
        <w:t xml:space="preserve"> в размере 15% предусмотрена только для взрослого населения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Существующая проблематика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учета </w:t>
      </w:r>
      <w:r>
        <w:rPr>
          <w:rFonts w:ascii="Times New Roman" w:hAnsi="Times New Roman" w:cs="Times New Roman"/>
          <w:iCs/>
          <w:sz w:val="28"/>
          <w:szCs w:val="28"/>
        </w:rPr>
        <w:t xml:space="preserve">в нормативных и методических документах</w:t>
      </w:r>
      <w:r>
        <w:rPr>
          <w:rFonts w:ascii="Times New Roman" w:hAnsi="Times New Roman" w:cs="Times New Roman"/>
          <w:iCs/>
          <w:sz w:val="28"/>
          <w:szCs w:val="28"/>
        </w:rPr>
        <w:t xml:space="preserve"> особенностей </w:t>
      </w:r>
      <w:r>
        <w:rPr>
          <w:rFonts w:ascii="Times New Roman" w:hAnsi="Times New Roman" w:cs="Times New Roman"/>
          <w:iCs/>
          <w:sz w:val="28"/>
          <w:szCs w:val="28"/>
        </w:rPr>
        <w:t xml:space="preserve">питания детей в районах Крайнего </w:t>
      </w:r>
      <w:r>
        <w:rPr>
          <w:rFonts w:ascii="Times New Roman" w:hAnsi="Times New Roman" w:cs="Times New Roman"/>
          <w:iCs/>
          <w:sz w:val="28"/>
          <w:szCs w:val="28"/>
        </w:rPr>
        <w:t xml:space="preserve">Севера, вызывает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серьезное беспокойство в медицинских кругах. </w:t>
      </w:r>
      <w:r>
        <w:rPr>
          <w:rFonts w:ascii="Times New Roman" w:hAnsi="Times New Roman" w:cs="Times New Roman"/>
          <w:iCs/>
          <w:sz w:val="28"/>
          <w:szCs w:val="28"/>
        </w:rPr>
        <w:t xml:space="preserve">Единственный аналоговый источник – методические рекомендации МР 2.4.5.0146-19</w:t>
      </w:r>
      <w: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"Организация питания детей дошкольного и школьного возраста в организованных коллективах на территории Арктической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зоны Российской Федерации".</w:t>
      </w: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</w:t>
      </w:r>
      <w:r>
        <w:rPr>
          <w:rFonts w:ascii="Times New Roman" w:hAnsi="Times New Roman" w:cs="Times New Roman"/>
          <w:iCs/>
          <w:sz w:val="28"/>
          <w:szCs w:val="28"/>
        </w:rPr>
        <w:t xml:space="preserve">о мнению </w:t>
      </w:r>
      <w:r>
        <w:rPr>
          <w:rFonts w:ascii="Times New Roman" w:hAnsi="Times New Roman" w:cs="Times New Roman"/>
          <w:iCs/>
          <w:sz w:val="28"/>
          <w:szCs w:val="28"/>
        </w:rPr>
        <w:t xml:space="preserve">экспертов,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приведенные в МР 2.3.1.0253-21 </w:t>
      </w:r>
      <w:r>
        <w:rPr>
          <w:rFonts w:ascii="Times New Roman" w:hAnsi="Times New Roman" w:cs="Times New Roman"/>
          <w:iCs/>
          <w:sz w:val="28"/>
          <w:szCs w:val="28"/>
        </w:rPr>
        <w:t xml:space="preserve">и СанПиН</w:t>
      </w:r>
      <w:r>
        <w:rPr>
          <w:rFonts w:ascii="Times New Roman" w:hAnsi="Times New Roman" w:cs="Times New Roman"/>
          <w:iCs/>
          <w:sz w:val="28"/>
          <w:szCs w:val="28"/>
        </w:rPr>
        <w:t xml:space="preserve"> 2.3/2.4.3590-</w:t>
      </w:r>
      <w:r>
        <w:rPr>
          <w:rFonts w:ascii="Times New Roman" w:hAnsi="Times New Roman" w:cs="Times New Roman"/>
          <w:iCs/>
          <w:sz w:val="28"/>
          <w:szCs w:val="28"/>
        </w:rPr>
        <w:t xml:space="preserve">20 нормы</w:t>
      </w:r>
      <w:r>
        <w:rPr>
          <w:rFonts w:ascii="Times New Roman" w:hAnsi="Times New Roman" w:cs="Times New Roman"/>
          <w:iCs/>
          <w:sz w:val="28"/>
          <w:szCs w:val="28"/>
        </w:rPr>
        <w:t xml:space="preserve"> физиологических потр</w:t>
      </w:r>
      <w:r>
        <w:rPr>
          <w:rFonts w:ascii="Times New Roman" w:hAnsi="Times New Roman" w:cs="Times New Roman"/>
          <w:iCs/>
          <w:sz w:val="28"/>
          <w:szCs w:val="28"/>
        </w:rPr>
        <w:t xml:space="preserve">ебностей </w:t>
      </w:r>
      <w:r>
        <w:rPr>
          <w:rFonts w:ascii="Times New Roman" w:hAnsi="Times New Roman" w:cs="Times New Roman"/>
          <w:iCs/>
          <w:sz w:val="28"/>
          <w:szCs w:val="28"/>
        </w:rPr>
        <w:t xml:space="preserve">не</w:t>
      </w:r>
      <w:r>
        <w:rPr>
          <w:rFonts w:ascii="Times New Roman" w:hAnsi="Times New Roman" w:cs="Times New Roman"/>
          <w:iCs/>
          <w:sz w:val="28"/>
          <w:szCs w:val="28"/>
        </w:rPr>
        <w:t xml:space="preserve"> в полной мере</w:t>
      </w:r>
      <w:r>
        <w:rPr>
          <w:rFonts w:ascii="Times New Roman" w:hAnsi="Times New Roman" w:cs="Times New Roman"/>
          <w:iCs/>
          <w:sz w:val="28"/>
          <w:szCs w:val="28"/>
        </w:rPr>
        <w:t xml:space="preserve"> отражают</w:t>
      </w:r>
      <w:r>
        <w:rPr>
          <w:rFonts w:ascii="Times New Roman" w:hAnsi="Times New Roman" w:cs="Times New Roman"/>
          <w:iCs/>
          <w:sz w:val="28"/>
          <w:szCs w:val="28"/>
        </w:rPr>
        <w:t xml:space="preserve"> специфику </w:t>
      </w:r>
      <w:r>
        <w:rPr>
          <w:rFonts w:ascii="Times New Roman" w:hAnsi="Times New Roman" w:cs="Times New Roman"/>
          <w:iCs/>
          <w:sz w:val="28"/>
          <w:szCs w:val="28"/>
        </w:rPr>
        <w:t xml:space="preserve">Крайнего Севера. Многочисленными </w:t>
      </w:r>
      <w:r>
        <w:rPr>
          <w:rFonts w:ascii="Times New Roman" w:hAnsi="Times New Roman" w:cs="Times New Roman"/>
          <w:iCs/>
          <w:sz w:val="28"/>
          <w:szCs w:val="28"/>
        </w:rPr>
        <w:t xml:space="preserve">медицинскими </w:t>
      </w:r>
      <w:r>
        <w:rPr>
          <w:rFonts w:ascii="Times New Roman" w:hAnsi="Times New Roman" w:cs="Times New Roman"/>
          <w:iCs/>
          <w:sz w:val="28"/>
          <w:szCs w:val="28"/>
        </w:rPr>
        <w:t xml:space="preserve">и</w:t>
      </w:r>
      <w:r>
        <w:rPr>
          <w:rFonts w:ascii="Times New Roman" w:hAnsi="Times New Roman" w:cs="Times New Roman"/>
          <w:iCs/>
          <w:sz w:val="28"/>
          <w:szCs w:val="28"/>
        </w:rPr>
        <w:t xml:space="preserve">сследованиями подтверждено, </w:t>
      </w:r>
      <w:r>
        <w:rPr>
          <w:rFonts w:ascii="Times New Roman" w:hAnsi="Times New Roman" w:cs="Times New Roman"/>
          <w:iCs/>
          <w:sz w:val="28"/>
          <w:szCs w:val="28"/>
        </w:rPr>
        <w:t xml:space="preserve">что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с</w:t>
      </w:r>
      <w:r>
        <w:rPr>
          <w:rFonts w:ascii="Times New Roman" w:hAnsi="Times New Roman" w:cs="Times New Roman"/>
          <w:iCs/>
          <w:sz w:val="28"/>
          <w:szCs w:val="28"/>
        </w:rPr>
        <w:t xml:space="preserve">евере у человека</w:t>
      </w:r>
      <w:r>
        <w:rPr>
          <w:rFonts w:ascii="Times New Roman" w:hAnsi="Times New Roman" w:cs="Times New Roman"/>
          <w:iCs/>
          <w:sz w:val="28"/>
          <w:szCs w:val="28"/>
        </w:rPr>
        <w:t xml:space="preserve"> (в </w:t>
      </w:r>
      <w:r>
        <w:rPr>
          <w:rFonts w:ascii="Times New Roman" w:hAnsi="Times New Roman" w:cs="Times New Roman"/>
          <w:iCs/>
          <w:sz w:val="28"/>
          <w:szCs w:val="28"/>
        </w:rPr>
        <w:t xml:space="preserve">первую очередь</w:t>
      </w:r>
      <w:r>
        <w:rPr>
          <w:rFonts w:ascii="Times New Roman" w:hAnsi="Times New Roman" w:cs="Times New Roman"/>
          <w:iCs/>
          <w:sz w:val="28"/>
          <w:szCs w:val="28"/>
        </w:rPr>
        <w:t xml:space="preserve"> у пришлых, не коренных категорий населения),</w:t>
      </w:r>
      <w:r>
        <w:rPr>
          <w:rFonts w:ascii="Times New Roman" w:hAnsi="Times New Roman" w:cs="Times New Roman"/>
          <w:iCs/>
          <w:sz w:val="28"/>
          <w:szCs w:val="28"/>
        </w:rPr>
        <w:t xml:space="preserve"> снижается энергетическая роль углеводов и повышается роль жиров и белков, меняется метаболический тип. </w:t>
      </w:r>
      <w:r>
        <w:rPr>
          <w:rFonts w:ascii="Times New Roman" w:hAnsi="Times New Roman" w:cs="Times New Roman"/>
          <w:iCs/>
          <w:sz w:val="28"/>
          <w:szCs w:val="28"/>
        </w:rPr>
        <w:t xml:space="preserve">Т</w:t>
      </w:r>
      <w:r>
        <w:rPr>
          <w:rFonts w:ascii="Times New Roman" w:hAnsi="Times New Roman" w:cs="Times New Roman"/>
          <w:iCs/>
          <w:sz w:val="28"/>
          <w:szCs w:val="28"/>
        </w:rPr>
        <w:t xml:space="preserve">ак называемый </w:t>
      </w:r>
      <w:r>
        <w:rPr>
          <w:rFonts w:ascii="Times New Roman" w:hAnsi="Times New Roman" w:cs="Times New Roman"/>
          <w:iCs/>
          <w:sz w:val="28"/>
          <w:szCs w:val="28"/>
        </w:rPr>
        <w:t xml:space="preserve">«северный» тип метаболизма требует преобладания белково-жировых компонентов в пище, а также определенных соотношений не только белков, жиров, углеводов, но и витаминов, макро-, микроэлементов и других «минорных» компонентов пищи. </w:t>
      </w:r>
      <w:r/>
    </w:p>
    <w:p>
      <w:pPr>
        <w:pStyle w:val="880"/>
        <w:ind w:firstLine="708"/>
        <w:jc w:val="both"/>
        <w:spacing w:before="0" w:beforeAutospacing="0" w:after="0" w:afterAutospacing="0"/>
        <w:shd w:val="clear" w:color="auto" w:fill="ffffff"/>
        <w:rPr>
          <w:iCs/>
          <w:sz w:val="28"/>
          <w:szCs w:val="28"/>
          <w:highlight w:val="none"/>
        </w:rPr>
      </w:pPr>
      <w:r>
        <w:rPr>
          <w:iCs/>
          <w:sz w:val="28"/>
          <w:szCs w:val="28"/>
        </w:rPr>
        <w:t xml:space="preserve">Ввиду отсутствия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достаточной регламентации в части нормирования питания детей на Крайнем </w:t>
      </w:r>
      <w:r>
        <w:rPr>
          <w:iCs/>
          <w:sz w:val="28"/>
          <w:szCs w:val="28"/>
        </w:rPr>
        <w:t xml:space="preserve">Севере, в</w:t>
      </w:r>
      <w:r>
        <w:rPr>
          <w:iCs/>
          <w:sz w:val="28"/>
          <w:szCs w:val="28"/>
        </w:rPr>
        <w:t xml:space="preserve"> соответствии со</w:t>
      </w:r>
      <w:r>
        <w:rPr>
          <w:iCs/>
          <w:sz w:val="28"/>
          <w:szCs w:val="28"/>
        </w:rPr>
        <w:t xml:space="preserve"> с</w:t>
      </w:r>
      <w:r>
        <w:rPr>
          <w:iCs/>
          <w:sz w:val="28"/>
          <w:szCs w:val="28"/>
        </w:rPr>
        <w:t xml:space="preserve">т. 25.3. Федерального закона </w:t>
      </w:r>
      <w:r>
        <w:rPr>
          <w:iCs/>
          <w:sz w:val="28"/>
          <w:szCs w:val="28"/>
        </w:rPr>
        <w:t xml:space="preserve">от 1 марта 2020 г. № 47-ФЗ, </w:t>
      </w:r>
      <w:r>
        <w:rPr>
          <w:iCs/>
          <w:sz w:val="28"/>
          <w:szCs w:val="28"/>
        </w:rPr>
        <w:t xml:space="preserve">субъект Российской Федерации имеет право установить на своей территории нормы, удовлетворяющие социально-демографическим, национальным, конфессиональным и местным особенностям питания населения».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Справочно:</w:t>
      </w:r>
      <w:r/>
    </w:p>
    <w:p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«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Статья 25.3. Нормирование обеспечения питанием детей в организованных детских коллективах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/>
    </w:p>
    <w:p>
      <w:pPr>
        <w:pStyle w:val="880"/>
        <w:ind w:firstLine="709"/>
        <w:jc w:val="both"/>
        <w:spacing w:before="0" w:beforeAutospacing="0" w:after="200" w:afterAutospacing="0"/>
        <w:shd w:val="clear" w:color="auto" w:fill="ffffff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1. 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  <w:r/>
    </w:p>
    <w:p>
      <w:pPr>
        <w:pStyle w:val="880"/>
        <w:ind w:firstLine="709"/>
        <w:jc w:val="both"/>
        <w:spacing w:before="0" w:beforeAutospacing="0" w:after="0" w:afterAutospacing="0"/>
        <w:shd w:val="clear" w:color="auto" w:fill="ffffff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2. Органы государственной власти субъекта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</w:t>
      </w:r>
      <w:r>
        <w:rPr>
          <w:rFonts w:eastAsiaTheme="minorHAnsi"/>
          <w:b/>
          <w:i/>
          <w:iCs/>
          <w:sz w:val="28"/>
          <w:szCs w:val="28"/>
          <w:u w:val="single"/>
          <w:lang w:eastAsia="en-US"/>
        </w:rPr>
        <w:t xml:space="preserve">в размерах, соответствующих нормам или превышающих нормы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, которые установлены </w:t>
      </w:r>
      <w:hyperlink r:id="rId11" w:tooltip="https://base.garant.ru/12117866/da886ff15d710e23b07f0b0e38e409fa/#block_2531" w:anchor="block_2531" w:history="1">
        <w:r>
          <w:rPr>
            <w:rFonts w:eastAsiaTheme="minorHAnsi"/>
            <w:i/>
            <w:iCs/>
            <w:sz w:val="28"/>
            <w:szCs w:val="28"/>
            <w:lang w:eastAsia="en-US"/>
          </w:rPr>
          <w:t xml:space="preserve">пунктом 1</w:t>
        </w:r>
      </w:hyperlink>
      <w:r>
        <w:rPr>
          <w:rFonts w:eastAsiaTheme="minorHAnsi"/>
          <w:i/>
          <w:iCs/>
          <w:sz w:val="28"/>
          <w:szCs w:val="28"/>
          <w:lang w:eastAsia="en-US"/>
        </w:rPr>
        <w:t xml:space="preserve"> настоящей статьи, с применением допустимых норм замены одних пищевых продуктов другими пищевыми продуктами с учетом социально-демографических факторов, национальных, конфессиональных и местных особенностей питания населения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»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</w:t>
      </w:r>
      <w:r>
        <w:rPr>
          <w:rFonts w:ascii="Times New Roman" w:hAnsi="Times New Roman" w:cs="Times New Roman"/>
          <w:iCs/>
          <w:sz w:val="28"/>
          <w:szCs w:val="28"/>
        </w:rPr>
        <w:t xml:space="preserve">ля детей (некоренное население),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проживающих в районах Крайнего Севера (приравненных местностей)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 основе медицинских источников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сформулирована суточная потребность в макронутриентах </w:t>
      </w:r>
      <w:r>
        <w:rPr>
          <w:rFonts w:ascii="Times New Roman" w:hAnsi="Times New Roman" w:cs="Times New Roman"/>
          <w:iCs/>
          <w:sz w:val="28"/>
          <w:szCs w:val="28"/>
        </w:rPr>
        <w:t xml:space="preserve">(таб</w:t>
      </w:r>
      <w:r>
        <w:rPr>
          <w:rFonts w:ascii="Times New Roman" w:hAnsi="Times New Roman" w:cs="Times New Roman"/>
          <w:iCs/>
          <w:sz w:val="28"/>
          <w:szCs w:val="28"/>
        </w:rPr>
        <w:t xml:space="preserve">лица</w:t>
      </w:r>
      <w:r>
        <w:rPr>
          <w:rFonts w:ascii="Times New Roman" w:hAnsi="Times New Roman" w:cs="Times New Roman"/>
          <w:iCs/>
          <w:sz w:val="28"/>
          <w:szCs w:val="28"/>
        </w:rPr>
        <w:t xml:space="preserve"> 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2</w:t>
      </w:r>
      <w:r>
        <w:rPr>
          <w:rFonts w:ascii="Times New Roman" w:hAnsi="Times New Roman" w:cs="Times New Roman"/>
          <w:iCs/>
          <w:sz w:val="28"/>
          <w:szCs w:val="28"/>
        </w:rPr>
        <w:t xml:space="preserve">)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№</w:t>
      </w:r>
      <w:r>
        <w:rPr>
          <w:rFonts w:ascii="Times New Roman" w:hAnsi="Times New Roman" w:cs="Times New Roman"/>
          <w:iCs/>
          <w:sz w:val="28"/>
          <w:szCs w:val="28"/>
        </w:rPr>
        <w:t xml:space="preserve"> 2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Обоснование потребности содержания и соотношения макронутриентов в калорийности рациона (осенний, зимний, весенний сезон) возрастной категории 7-11 лет обучающихся в общеобразовательных организациях Ханты-Мансийского автономного округа – Югры.</w:t>
      </w:r>
      <w:r/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00"/>
        <w:gridCol w:w="1451"/>
        <w:gridCol w:w="1843"/>
        <w:gridCol w:w="2093"/>
      </w:tblGrid>
      <w:tr>
        <w:trPr>
          <w:trHeight w:val="300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08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/>
          </w:p>
        </w:tc>
      </w:tr>
      <w:tr>
        <w:trPr>
          <w:trHeight w:val="7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источника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Белки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, 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Жиры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, 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Углеводы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, 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Энергетическая ценность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, Ккал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Примечание</w:t>
            </w:r>
            <w:r/>
          </w:p>
        </w:tc>
      </w:tr>
      <w:tr>
        <w:trPr>
          <w:trHeight w:val="11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Нормативные показатели СанПиН 2.3/2.4.3590-20 (суточная потребность без учета тепловых потерь)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335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2350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СанПиН 2.3/2.4.3590-20  не установлена дополнительная потребность для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районов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Крайнего Севера и местностей приравненных к ним</w:t>
            </w:r>
            <w:r/>
          </w:p>
        </w:tc>
      </w:tr>
      <w:tr>
        <w:trPr>
          <w:trHeight w:val="15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Соотношение доли макронутриентов в калорийности рациона исходя из нормативных показателей СанПиН 2.3/2.4.3590-20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13%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57%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100%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3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Нормативные показатели МР 2.3.1 0253-21 (суточная потребность с учетом тепловых потерь)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 методических рекомендациях МР 2.3.1 0253-21 Нормы физиологич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еских потребностей в энергии и пищевых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веществах для различных групп населения Российской Федерации предусмотрена дополнительная 15% потребность на адаптацию к холодному климату (для взрослых категорий пришлого населения)</w:t>
            </w:r>
            <w:r/>
          </w:p>
        </w:tc>
      </w:tr>
      <w:tr>
        <w:trPr>
          <w:trHeight w:val="11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Соотношение доли макронутриентов в калорийности рациона исходя из нормативных показателей МР 2.3.1 0253-21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12%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58%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100%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Оптимальное соотношение доли макронутриентов в калорийности рациона для детей 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соответствии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с МР 2.3.1 0253-21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12-15%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25-35%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55-60%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8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Нормативные показатели МР 2.4.5 0146-19 Арктика (суточная потребность с учетом тепловых потерь) с учетом 10% дополнительной потребности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2310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МР 2.4.5 0146-19 "Организация питания детей дошкольного и школьного возраста в организованных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коллективах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на территории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Арктической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зоны Российской Федерации" предусмотрена дополнительная потребность для пришлого населения на адаптацию к холодному климату и скорректировано соотношение доли макронутриентов в рационе применительно к северному типу метаболизма</w:t>
            </w:r>
            <w:r/>
          </w:p>
        </w:tc>
      </w:tr>
      <w:tr>
        <w:trPr>
          <w:trHeight w:val="15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Соотношение доли макронутриентов в калорийности рациона исходя из нормативных показателей МР 2.4.5 0146-19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13%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52%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100%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9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Адекватная суточная потребность для пришлого населения Крайнего Севера (приравненных местностей) с учетом требований профилактической медицины (без учета тепловых потерь)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99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2585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Потребность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сформулирована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исходя требований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практической диетологии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, экстраполируя показатели МР 2.3.1 0253-21, МР 2.4.5 0146-19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применительно к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возрастной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группе 7-11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л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ет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пришлого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некоренного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населения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район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ах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Крайнего Севера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и приравненных к ним местностям</w:t>
            </w:r>
            <w:r/>
          </w:p>
        </w:tc>
      </w:tr>
      <w:tr>
        <w:trPr>
          <w:trHeight w:val="15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Оптимальное соотношение доли макронутриентов в калорийности рациона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для пришлого населения Крайнего Севера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исходя из требований профилактической медицины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35%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50%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100%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ind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Основные показатели химико-энергетических </w:t>
      </w:r>
      <w:r>
        <w:rPr>
          <w:rFonts w:ascii="Times New Roman" w:hAnsi="Times New Roman" w:cs="Times New Roman"/>
          <w:iCs/>
          <w:sz w:val="28"/>
          <w:szCs w:val="28"/>
        </w:rPr>
        <w:t xml:space="preserve">характеристик типового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меню приведены в таблиц</w:t>
      </w:r>
      <w:r>
        <w:rPr>
          <w:rFonts w:ascii="Times New Roman" w:hAnsi="Times New Roman" w:cs="Times New Roman"/>
          <w:iCs/>
          <w:sz w:val="28"/>
          <w:szCs w:val="28"/>
        </w:rPr>
        <w:t xml:space="preserve">е</w:t>
      </w:r>
      <w:r>
        <w:rPr>
          <w:rFonts w:ascii="Times New Roman" w:hAnsi="Times New Roman" w:cs="Times New Roman"/>
          <w:iCs/>
          <w:sz w:val="28"/>
          <w:szCs w:val="28"/>
        </w:rPr>
        <w:t xml:space="preserve"> 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3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3</w:t>
      </w:r>
      <w:r>
        <w:rPr>
          <w:rFonts w:ascii="Times New Roman" w:hAnsi="Times New Roman" w:cs="Times New Roman"/>
          <w:iCs/>
          <w:sz w:val="28"/>
          <w:szCs w:val="28"/>
        </w:rPr>
        <w:t xml:space="preserve"> - </w:t>
      </w:r>
      <w:r>
        <w:rPr>
          <w:rFonts w:ascii="Times New Roman" w:hAnsi="Times New Roman" w:cs="Times New Roman"/>
          <w:iCs/>
          <w:sz w:val="28"/>
          <w:szCs w:val="28"/>
        </w:rPr>
        <w:t xml:space="preserve">Фактические показатели химико-энергетических характеристик типового меню</w:t>
      </w:r>
      <w:r>
        <w:rPr>
          <w:rFonts w:ascii="Times New Roman" w:hAnsi="Times New Roman" w:cs="Times New Roman"/>
          <w:iCs/>
          <w:sz w:val="28"/>
          <w:szCs w:val="28"/>
        </w:rPr>
        <w:t xml:space="preserve"> для возрастной группы 7-11 лет</w:t>
      </w:r>
      <w:r/>
    </w:p>
    <w:tbl>
      <w:tblPr>
        <w:tblW w:w="10203" w:type="dxa"/>
        <w:jc w:val="center"/>
        <w:tblLook w:val="04A0" w:firstRow="1" w:lastRow="0" w:firstColumn="1" w:lastColumn="0" w:noHBand="0" w:noVBand="1"/>
      </w:tblPr>
      <w:tblGrid>
        <w:gridCol w:w="3251"/>
        <w:gridCol w:w="1559"/>
        <w:gridCol w:w="236"/>
        <w:gridCol w:w="1465"/>
        <w:gridCol w:w="284"/>
        <w:gridCol w:w="1417"/>
        <w:gridCol w:w="284"/>
        <w:gridCol w:w="1423"/>
        <w:gridCol w:w="284"/>
      </w:tblGrid>
      <w:tr>
        <w:trPr>
          <w:gridAfter w:val="1"/>
          <w:jc w:val="center"/>
          <w:trHeight w:val="278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W w:w="3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gridSpan w:val="5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Пищевые вещества (г)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W w:w="17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ЭЦ (ккал)</w:t>
            </w:r>
            <w:r/>
          </w:p>
        </w:tc>
      </w:tr>
      <w:tr>
        <w:trPr>
          <w:gridAfter w:val="1"/>
          <w:jc w:val="center"/>
          <w:trHeight w:val="57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W w:w="325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Белки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Жиры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Углеводы</w:t>
            </w:r>
            <w:r/>
          </w:p>
        </w:tc>
        <w:tc>
          <w:tcPr>
            <w:gridSpan w:val="2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W w:w="17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jc w:val="center"/>
          <w:trHeight w:val="65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Среднее значение завтраков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25,3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22,5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78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623,4</w:t>
            </w:r>
            <w:r/>
          </w:p>
        </w:tc>
      </w:tr>
      <w:tr>
        <w:trPr>
          <w:gridAfter w:val="1"/>
          <w:jc w:val="center"/>
          <w:trHeight w:val="9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нормативов СанПиН, % от суточной нормы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/>
          </w:p>
        </w:tc>
      </w:tr>
      <w:tr>
        <w:trPr>
          <w:gridAfter w:val="1"/>
          <w:jc w:val="center"/>
          <w:trHeight w:val="790"/>
        </w:trPr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32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26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22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24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70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26</w:t>
            </w:r>
            <w:r/>
          </w:p>
        </w:tc>
      </w:tr>
      <w:tr>
        <w:trPr>
          <w:jc w:val="center"/>
          <w:trHeight w:val="11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4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jc w:val="center"/>
          <w:trHeight w:val="5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Среднее значение обедов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33,1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31,1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94,8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795,9</w:t>
            </w:r>
            <w:r/>
          </w:p>
        </w:tc>
      </w:tr>
      <w:tr>
        <w:trPr>
          <w:gridAfter w:val="1"/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СанПиН, % от суточной нормы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43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/>
          </w:p>
        </w:tc>
      </w:tr>
      <w:tr>
        <w:trPr>
          <w:gridAfter w:val="1"/>
          <w:jc w:val="center"/>
          <w:trHeight w:val="5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33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31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30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31</w:t>
            </w:r>
            <w:r/>
          </w:p>
        </w:tc>
      </w:tr>
      <w:tr>
        <w:trPr>
          <w:jc w:val="center"/>
          <w:trHeight w:val="12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5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4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0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Среднее значение завтраков и обедов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58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54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173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1419</w:t>
            </w:r>
            <w:r/>
          </w:p>
        </w:tc>
      </w:tr>
      <w:tr>
        <w:trPr>
          <w:gridAfter w:val="1"/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СанПиН, % от суточной нормы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75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52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</w:t>
            </w:r>
            <w:r/>
          </w:p>
        </w:tc>
      </w:tr>
      <w:tr>
        <w:trPr>
          <w:gridAfter w:val="1"/>
          <w:jc w:val="center"/>
          <w:trHeight w:val="5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59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53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54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55</w:t>
            </w:r>
            <w:r/>
          </w:p>
        </w:tc>
      </w:tr>
    </w:tbl>
    <w:p>
      <w:pPr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 разработке типового меню достигнуты (с учетом разрешенных замен) показатели выполнения натуральных норм, установленны</w:t>
      </w:r>
      <w:r>
        <w:rPr>
          <w:rFonts w:ascii="Times New Roman" w:hAnsi="Times New Roman" w:cs="Times New Roman"/>
          <w:iCs/>
          <w:sz w:val="28"/>
          <w:szCs w:val="28"/>
        </w:rPr>
        <w:t xml:space="preserve">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  <w:br/>
        <w:t xml:space="preserve">СанПиН 2.3/2.4 3590-20.</w:t>
      </w: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Учитывая достигнутые показател</w:t>
      </w:r>
      <w:r>
        <w:rPr>
          <w:rFonts w:ascii="Times New Roman" w:hAnsi="Times New Roman" w:cs="Times New Roman"/>
          <w:iCs/>
          <w:sz w:val="28"/>
          <w:szCs w:val="28"/>
        </w:rPr>
        <w:t xml:space="preserve">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(таблица № </w:t>
      </w:r>
      <w:r>
        <w:rPr>
          <w:rFonts w:eastAsia="Segoe UI Emoji" w:cs="Segoe UI Emoji"/>
          <w:iCs/>
          <w:sz w:val="28"/>
          <w:szCs w:val="28"/>
        </w:rPr>
        <w:t xml:space="preserve">4) </w:t>
      </w:r>
      <w:r>
        <w:rPr>
          <w:rFonts w:ascii="Times New Roman" w:hAnsi="Times New Roman" w:cs="Times New Roman"/>
          <w:iCs/>
          <w:sz w:val="28"/>
          <w:szCs w:val="28"/>
        </w:rPr>
        <w:t xml:space="preserve">витаминов</w:t>
      </w:r>
      <w:r>
        <w:rPr>
          <w:rFonts w:ascii="Times New Roman" w:hAnsi="Times New Roman" w:cs="Times New Roman"/>
          <w:iCs/>
          <w:sz w:val="28"/>
          <w:szCs w:val="28"/>
        </w:rPr>
        <w:t xml:space="preserve">:</w:t>
      </w:r>
      <w:r>
        <w:rPr>
          <w:rFonts w:ascii="Times New Roman" w:hAnsi="Times New Roman" w:cs="Times New Roman"/>
          <w:iCs/>
          <w:sz w:val="28"/>
          <w:szCs w:val="28"/>
        </w:rPr>
        <w:t xml:space="preserve"> В1, С, А, Е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  <w:t xml:space="preserve"> дополнительная витаминизация рациона не требуется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/>
    </w:p>
    <w:p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№ 4 </w:t>
      </w: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 xml:space="preserve">Д</w:t>
      </w:r>
      <w:r>
        <w:rPr>
          <w:rFonts w:ascii="Times New Roman" w:hAnsi="Times New Roman" w:cs="Times New Roman"/>
          <w:iCs/>
          <w:sz w:val="28"/>
          <w:szCs w:val="28"/>
        </w:rPr>
        <w:t xml:space="preserve">остигнутые показатели витаминов</w:t>
      </w:r>
      <w:r/>
    </w:p>
    <w:tbl>
      <w:tblPr>
        <w:tblW w:w="10100" w:type="dxa"/>
        <w:jc w:val="center"/>
        <w:tblLook w:val="04A0" w:firstRow="1" w:lastRow="0" w:firstColumn="1" w:lastColumn="0" w:noHBand="0" w:noVBand="1"/>
      </w:tblPr>
      <w:tblGrid>
        <w:gridCol w:w="3240"/>
        <w:gridCol w:w="1604"/>
        <w:gridCol w:w="1750"/>
        <w:gridCol w:w="1750"/>
        <w:gridCol w:w="1756"/>
      </w:tblGrid>
      <w:tr>
        <w:trPr>
          <w:jc w:val="center"/>
          <w:trHeight w:val="51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4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В1, мг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С, мг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А, мг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Е, мг</w:t>
            </w:r>
            <w:r/>
          </w:p>
        </w:tc>
      </w:tr>
      <w:tr>
        <w:trPr>
          <w:jc w:val="center"/>
          <w:trHeight w:val="70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4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Среднее значение завтраков и обедов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</w:tr>
      <w:tr>
        <w:trPr>
          <w:jc w:val="center"/>
          <w:trHeight w:val="2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4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СанПиН, % от суточной нормы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130%</w:t>
            </w:r>
            <w:r/>
          </w:p>
        </w:tc>
      </w:tr>
      <w:tr>
        <w:trPr>
          <w:jc w:val="center"/>
          <w:trHeight w:val="5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нормативов для Крайнего Севера, % от суточной нормы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67%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137%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105%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87%</w:t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ind w:firstLine="709"/>
        <w:jc w:val="both"/>
        <w:spacing w:after="0" w:line="288" w:lineRule="auto"/>
        <w:tabs>
          <w:tab w:val="left" w:pos="2921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применения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типовы</w:t>
      </w:r>
      <w:r>
        <w:rPr>
          <w:rFonts w:ascii="Times New Roman" w:hAnsi="Times New Roman" w:cs="Times New Roman"/>
          <w:b/>
          <w:sz w:val="28"/>
          <w:szCs w:val="28"/>
        </w:rPr>
        <w:t xml:space="preserve">х</w:t>
      </w:r>
      <w:r>
        <w:rPr>
          <w:rFonts w:ascii="Times New Roman" w:hAnsi="Times New Roman" w:cs="Times New Roman"/>
          <w:b/>
          <w:sz w:val="28"/>
          <w:szCs w:val="28"/>
        </w:rPr>
        <w:t xml:space="preserve"> меню основного (организованного) питания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Разработанн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типовое 10-ти дневное муниципальное основное меню для организации питания детей в возрасте 7-11 лет на два приема пищи (завтрак, обед), обучающихся в общеобразовательных организациях Ханты-Мансийского автономного округа – Югры,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представлен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риложени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№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1 к Региональному стандарту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.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Представленн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основн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меню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явля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ется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типовым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 целью точного расчета химико-энергетического состава и себестоимости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его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включены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конкретные блюда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из соответствующих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вид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м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яса, рыбы, фруктов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т.п.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основе типового меню основного питания непосредственно в общеобразовательной организации разрабатывается меню основного питания. В качестве основного меню может применяться предложенный (базовый) вариант реализации типового основного меню,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так же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разрешаются обоснованные замены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ru-RU"/>
        </w:rPr>
        <w:t xml:space="preserve">в пределах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ru-RU"/>
        </w:rPr>
        <w:t xml:space="preserve">структуры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типового меню. 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При практическом применении типового основного меню на местах необходимо учитывать специфику образовательной организации: численность питающихся, наличие и квалификацию персонала, наличие и тип оборудования, режим работы организа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ции, логистику и так далее. Исходя из специфики, в конкретной образовательной организации в рамках структуры типового меню целесообразно планировать блюда, которые по трудоемкости, возможно приготовить силами имеющегося персонала на имеющемся оборудовании.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апример,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вместо трудоемких сырников может применяться творожная запеканка,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вместо говядины может применяться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свинина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, баранина (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 внесением корректировок в технологическую документацию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 т.п.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Для обеспечения достигнутых показателей сбалансированности химико-энергетических характеристик при практической реализации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основного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меню на местах достаточно выдерживать структуру типового меню.</w:t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Структура основного типового меню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включает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определенное количество и соотношение мясных, рыбных, творожных, яичных блюд, молочных каш, овощных и крупяных гарниров, иных блюд в пределах заданного периода, с массой порций не менее определенных СанПиН 2.3/2.4.3590-20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 в базовом варианте типового меню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  <w:r/>
    </w:p>
    <w:p>
      <w:pPr>
        <w:ind w:firstLine="709"/>
        <w:jc w:val="both"/>
        <w:spacing w:after="0" w:line="288" w:lineRule="auto"/>
        <w:tabs>
          <w:tab w:val="left" w:pos="2304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Замена рыбных блюд (по причине низкой поедаемости) на мясные блюда, блюда из птицы допускается в исключительных случаях, только по оформленному решению учредителя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образовательной организации.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соответствии с письмом Минпросвещения России от 19.11.2020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br/>
        <w:t xml:space="preserve">№ АН-2021/09, 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сновное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меню может быть улучшено (путем увеличения выходов блюд, дополнительной выдачи фруктов,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применения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более дорогих сортов рыбы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 иных продуктов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) за счет экономии средств субсидии в случаях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полного или частичного перевода обучающихся общеобразовательных организаций на карантин и/или дистанционный формат обучения, введения дополнительных каникулярных периодов с целью профилактики случаев заболевания обучающихся новой коронавирусной инфекцией 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ли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иными инфекционными и вирусными заболеваниями, болезни и отсутствия на занятиях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по иным причинам отдельных обучающихся, используемой на обеспечение повышения качества и наполнения предоставляемого рациона питания и/или увеличения кратности предоставления бесплатного горячего питания обучающимся 1-4 классов (сверх одного раза в день).</w:t>
      </w:r>
      <w:r/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Средняя стоимос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ть горячего питания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типовому ме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ню на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одного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обучающегося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день рассчитана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двух вариантах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(таблица №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):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основании федерального статистического наблюдения за потребительскими ценами на товары и услуги 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ХМАО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– Югре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основании закупочных (контрактных) цен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.</w:t>
      </w:r>
      <w:r/>
    </w:p>
    <w:p>
      <w:pPr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Таблица №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– Средняя стоимость горячего питания по типовому меню на одного обучающегося в день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(завтрак, обед)</w:t>
      </w:r>
      <w:r/>
    </w:p>
    <w:tbl>
      <w:tblPr>
        <w:tblStyle w:val="857"/>
        <w:tblW w:w="0" w:type="auto"/>
        <w:jc w:val="center"/>
        <w:tblLook w:val="04A0" w:firstRow="1" w:lastRow="0" w:firstColumn="1" w:lastColumn="0" w:noHBand="0" w:noVBand="1"/>
      </w:tblPr>
      <w:tblGrid>
        <w:gridCol w:w="3314"/>
        <w:gridCol w:w="1764"/>
        <w:gridCol w:w="1611"/>
        <w:gridCol w:w="2804"/>
      </w:tblGrid>
      <w:tr>
        <w:trPr>
          <w:jc w:val="center"/>
        </w:trPr>
        <w:tc>
          <w:tcPr>
            <w:tcW w:w="331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Источник цен</w:t>
            </w:r>
            <w:r/>
          </w:p>
        </w:tc>
        <w:tc>
          <w:tcPr>
            <w:tcW w:w="176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Завтрак, руб.</w:t>
            </w:r>
            <w:r/>
          </w:p>
        </w:tc>
        <w:tc>
          <w:tcP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Обед, руб.</w:t>
            </w:r>
            <w:r/>
          </w:p>
        </w:tc>
        <w:tc>
          <w:tcPr>
            <w:tcW w:w="280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Суммарная себестоимость (завтрак/обед)</w:t>
            </w:r>
            <w:r/>
          </w:p>
        </w:tc>
      </w:tr>
      <w:tr>
        <w:trPr>
          <w:jc w:val="center"/>
          <w:trHeight w:val="1130"/>
        </w:trPr>
        <w:tc>
          <w:tcPr>
            <w:tcW w:w="331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Средние потребительские цены Росстата ХМАО – Югра за ноябрь 2022 г.</w:t>
            </w:r>
            <w:r/>
          </w:p>
        </w:tc>
        <w:tc>
          <w:tcPr>
            <w:tcW w:w="176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97,65</w:t>
            </w:r>
            <w:r/>
          </w:p>
        </w:tc>
        <w:tc>
          <w:tcP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125,07</w:t>
            </w:r>
            <w:r/>
          </w:p>
        </w:tc>
        <w:tc>
          <w:tcPr>
            <w:tcW w:w="280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222,72</w:t>
            </w:r>
            <w:r/>
          </w:p>
        </w:tc>
      </w:tr>
      <w:tr>
        <w:trPr>
          <w:jc w:val="center"/>
          <w:trHeight w:val="577"/>
        </w:trPr>
        <w:tc>
          <w:tcPr>
            <w:tcW w:w="331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Закупочные цены</w:t>
            </w:r>
            <w:r/>
          </w:p>
        </w:tc>
        <w:tc>
          <w:tcPr>
            <w:tcW w:w="176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77,25</w:t>
            </w:r>
            <w:r/>
          </w:p>
        </w:tc>
        <w:tc>
          <w:tcP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97,86</w:t>
            </w:r>
            <w:r/>
          </w:p>
        </w:tc>
        <w:tc>
          <w:tcPr>
            <w:tcW w:w="280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175,1</w:t>
            </w:r>
            <w:r/>
          </w:p>
        </w:tc>
      </w:tr>
      <w:tr>
        <w:trPr>
          <w:jc w:val="center"/>
          <w:trHeight w:val="1098"/>
        </w:trPr>
        <w:tc>
          <w:tcPr>
            <w:tcW w:w="331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Средние потребительские цены Росстата ХМАО – Югра за август 2022 г.</w:t>
            </w:r>
            <w:r/>
          </w:p>
        </w:tc>
        <w:tc>
          <w:tcPr>
            <w:tcW w:w="176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88,91</w:t>
            </w:r>
            <w:r/>
          </w:p>
        </w:tc>
        <w:tc>
          <w:tcP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125,56</w:t>
            </w:r>
            <w:r/>
          </w:p>
        </w:tc>
        <w:tc>
          <w:tcPr>
            <w:tcW w:w="280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214,47</w:t>
            </w:r>
            <w:r/>
          </w:p>
        </w:tc>
      </w:tr>
      <w:tr>
        <w:trPr>
          <w:jc w:val="center"/>
          <w:trHeight w:val="842"/>
        </w:trPr>
        <w:tc>
          <w:tcPr>
            <w:tcW w:w="331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Закупочные цены</w:t>
            </w:r>
            <w:r/>
          </w:p>
        </w:tc>
        <w:tc>
          <w:tcPr>
            <w:tcW w:w="176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114,02</w:t>
            </w:r>
            <w:r/>
          </w:p>
        </w:tc>
        <w:tc>
          <w:tcP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157,54</w:t>
            </w:r>
            <w:r/>
          </w:p>
        </w:tc>
        <w:tc>
          <w:tcPr>
            <w:tcW w:w="280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271,55</w:t>
            </w:r>
            <w:r/>
          </w:p>
        </w:tc>
      </w:tr>
    </w:tbl>
    <w:p>
      <w:pPr>
        <w:ind w:firstLine="709"/>
        <w:jc w:val="both"/>
        <w:spacing w:after="0" w:line="360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Сборники</w:t>
      </w:r>
      <w:r>
        <w:rPr>
          <w:rFonts w:ascii="Times New Roman" w:hAnsi="Times New Roman" w:cs="Times New Roman"/>
          <w:sz w:val="28"/>
          <w:szCs w:val="28"/>
        </w:rPr>
        <w:t xml:space="preserve"> рецептур</w:t>
      </w:r>
      <w:r>
        <w:rPr>
          <w:rFonts w:ascii="Times New Roman" w:hAnsi="Times New Roman" w:cs="Times New Roman"/>
          <w:sz w:val="28"/>
          <w:szCs w:val="28"/>
        </w:rPr>
        <w:t xml:space="preserve">, используемые при разработке меню: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Сборник технических нормативов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Сборник рецептур на продукцию для обучающихся во всех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</w:t>
      </w:r>
      <w:r>
        <w:rPr>
          <w:rFonts w:ascii="Times New Roman" w:hAnsi="Times New Roman" w:cs="Times New Roman"/>
          <w:sz w:val="28"/>
          <w:szCs w:val="28"/>
        </w:rPr>
        <w:t xml:space="preserve">М.П. Могильного и В.А Тутельяна – М.: ДеЛи плюс, 2017;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Сборник технических нормативов. ФГАУ НЦЗД Минздрава России, НИИ ГиОЗДиП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Сборник рецептур блюд и кулинарных изделий для обучающихся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член-корр. РАН, д.м.н., профессора В.Р. Кучмы – М.: Издатель Научный центр здоровья детей, 2016.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Нумерация рецептур меню совпадает с нумерацией рецептур с вышеуказанных сборниках: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аббревиатура М </w:t>
      </w:r>
      <w:r>
        <w:rPr>
          <w:rFonts w:ascii="Times New Roman" w:hAnsi="Times New Roman" w:cs="Times New Roman"/>
          <w:sz w:val="28"/>
          <w:szCs w:val="28"/>
        </w:rPr>
        <w:t xml:space="preserve">- означает</w:t>
      </w:r>
      <w:r>
        <w:rPr>
          <w:rFonts w:ascii="Times New Roman" w:hAnsi="Times New Roman" w:cs="Times New Roman"/>
          <w:sz w:val="28"/>
          <w:szCs w:val="28"/>
        </w:rPr>
        <w:t xml:space="preserve">, что блюдо из </w:t>
      </w:r>
      <w:r>
        <w:rPr>
          <w:rFonts w:ascii="Times New Roman" w:hAnsi="Times New Roman" w:cs="Times New Roman"/>
          <w:sz w:val="28"/>
          <w:szCs w:val="28"/>
        </w:rPr>
        <w:t xml:space="preserve">«С</w:t>
      </w:r>
      <w:r>
        <w:rPr>
          <w:rFonts w:ascii="Times New Roman" w:hAnsi="Times New Roman" w:cs="Times New Roman"/>
          <w:sz w:val="28"/>
          <w:szCs w:val="28"/>
        </w:rPr>
        <w:t xml:space="preserve">борника рецептур</w:t>
      </w:r>
      <w:r>
        <w:rPr>
          <w:rFonts w:ascii="Times New Roman" w:hAnsi="Times New Roman" w:cs="Times New Roman"/>
          <w:sz w:val="28"/>
          <w:szCs w:val="28"/>
        </w:rPr>
        <w:t xml:space="preserve"> на продукцию для обучающихся во всех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М.П. Могильного и В.А Тутельяна – М.: ДеЛи плюс, 2017;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аббревиатура К </w:t>
      </w:r>
      <w:r>
        <w:rPr>
          <w:rFonts w:ascii="Times New Roman" w:hAnsi="Times New Roman" w:cs="Times New Roman"/>
          <w:sz w:val="28"/>
          <w:szCs w:val="28"/>
        </w:rPr>
        <w:t xml:space="preserve">- блюдо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«С</w:t>
      </w:r>
      <w:r>
        <w:rPr>
          <w:rFonts w:ascii="Times New Roman" w:hAnsi="Times New Roman" w:cs="Times New Roman"/>
          <w:sz w:val="28"/>
          <w:szCs w:val="28"/>
        </w:rPr>
        <w:t xml:space="preserve">борника рецептур</w:t>
      </w:r>
      <w:r>
        <w:rPr>
          <w:rFonts w:ascii="Times New Roman" w:hAnsi="Times New Roman" w:cs="Times New Roman"/>
          <w:sz w:val="28"/>
          <w:szCs w:val="28"/>
        </w:rPr>
        <w:t xml:space="preserve"> блюд и кулинарных изделий для обучающихся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член-корр. РАН, д.м.н., профессора В.Р. Кучмы – М.: Издатель Научный центр здоровья детей, 2016;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аббревиатура ССЖ – в </w:t>
      </w:r>
      <w:r>
        <w:rPr>
          <w:rFonts w:ascii="Times New Roman" w:hAnsi="Times New Roman" w:cs="Times New Roman"/>
          <w:sz w:val="28"/>
          <w:szCs w:val="28"/>
        </w:rPr>
        <w:t xml:space="preserve">рецептуру</w:t>
      </w:r>
      <w:r>
        <w:rPr>
          <w:rFonts w:ascii="Times New Roman" w:hAnsi="Times New Roman" w:cs="Times New Roman"/>
          <w:sz w:val="28"/>
          <w:szCs w:val="28"/>
        </w:rPr>
        <w:t xml:space="preserve"> внесены коррективы по снижению закладки соли, сахара, жиров</w:t>
      </w:r>
      <w:r>
        <w:rPr>
          <w:rFonts w:ascii="Times New Roman" w:hAnsi="Times New Roman" w:cs="Times New Roman"/>
          <w:sz w:val="28"/>
          <w:szCs w:val="28"/>
        </w:rPr>
        <w:t xml:space="preserve"> в целях соответствия нормам</w:t>
      </w:r>
      <w:r>
        <w:rPr>
          <w:rFonts w:ascii="Times New Roman" w:hAnsi="Times New Roman" w:cs="Times New Roman"/>
          <w:sz w:val="28"/>
          <w:szCs w:val="28"/>
        </w:rPr>
        <w:t xml:space="preserve"> </w:t>
        <w:br/>
        <w:t xml:space="preserve">СанПиН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2.3/2.4 3590-20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практическо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меню может использоваться любое, принятое в организации обозначение рецептур. Также могут использоваться рецептуры любых иных сборников, в том числе собственные рецепты блюд, при условии подтверждения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порядком </w:t>
      </w:r>
      <w:r>
        <w:rPr>
          <w:rFonts w:ascii="Times New Roman" w:hAnsi="Times New Roman" w:cs="Times New Roman"/>
          <w:sz w:val="28"/>
          <w:szCs w:val="28"/>
        </w:rPr>
        <w:t xml:space="preserve">безопасности и качества блюд.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химико-энергетического состава блюд произведен в соответствии со сборником: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Химический состав и калорийность российских пищевых продуктов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И.М. Скурихина и В.А. Тутельяна: Справочник. – М.:, ДеЛи плюс, 2012.</w:t>
      </w:r>
      <w:r>
        <w:rPr>
          <w:rFonts w:ascii="Times New Roman" w:hAnsi="Times New Roman" w:cs="Times New Roman"/>
          <w:sz w:val="28"/>
          <w:szCs w:val="28"/>
        </w:rPr>
        <w:t xml:space="preserve"> Химико-энергетические характеристики блюд рассчитаны без учета тепловых потерь.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типовом меню для расчета выходов блюд применены нормы отходов при первичной обработке продуктов в соответствии с вышеуказанными сборниками </w:t>
      </w:r>
      <w:r>
        <w:rPr>
          <w:rFonts w:ascii="Times New Roman" w:hAnsi="Times New Roman" w:cs="Times New Roman"/>
          <w:sz w:val="28"/>
          <w:szCs w:val="28"/>
        </w:rPr>
        <w:t xml:space="preserve">рецептур и </w:t>
      </w:r>
      <w:r>
        <w:rPr>
          <w:rFonts w:ascii="Times New Roman" w:hAnsi="Times New Roman" w:cs="Times New Roman"/>
          <w:sz w:val="28"/>
          <w:szCs w:val="28"/>
        </w:rPr>
        <w:t xml:space="preserve">справочником </w:t>
      </w:r>
      <w:r>
        <w:rPr>
          <w:rFonts w:ascii="Times New Roman" w:hAnsi="Times New Roman" w:cs="Times New Roman"/>
          <w:sz w:val="28"/>
          <w:szCs w:val="28"/>
        </w:rPr>
        <w:t xml:space="preserve">химического состава. При практическом применении типового 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в обязательном порядке</w:t>
      </w:r>
      <w:r>
        <w:rPr>
          <w:rFonts w:ascii="Times New Roman" w:hAnsi="Times New Roman" w:cs="Times New Roman"/>
          <w:sz w:val="28"/>
          <w:szCs w:val="28"/>
        </w:rPr>
        <w:t xml:space="preserve"> должны применят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ся фактические показатели отходов при первичной обработке продуктов по результатам контрольных проработок. 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выполнения мероприятий по снижению потребления соли, сахара, жиров, соответствию нормам СанПиН 2.3./2.4</w:t>
      </w:r>
      <w:r>
        <w:rPr>
          <w:rFonts w:ascii="Times New Roman" w:hAnsi="Times New Roman" w:cs="Times New Roman"/>
          <w:sz w:val="28"/>
          <w:szCs w:val="28"/>
        </w:rPr>
        <w:t xml:space="preserve"> 3590-20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рецептуры </w:t>
      </w:r>
      <w:r>
        <w:rPr>
          <w:rFonts w:ascii="Times New Roman" w:hAnsi="Times New Roman" w:cs="Times New Roman"/>
          <w:sz w:val="28"/>
          <w:szCs w:val="28"/>
        </w:rPr>
        <w:t xml:space="preserve">некоторых </w:t>
      </w:r>
      <w:r>
        <w:rPr>
          <w:rFonts w:ascii="Times New Roman" w:hAnsi="Times New Roman" w:cs="Times New Roman"/>
          <w:sz w:val="28"/>
          <w:szCs w:val="28"/>
        </w:rPr>
        <w:t xml:space="preserve">блюд из вышеуказанных сборников внесены коррективы</w:t>
      </w:r>
      <w:r>
        <w:rPr>
          <w:rFonts w:ascii="Times New Roman" w:hAnsi="Times New Roman" w:cs="Times New Roman"/>
          <w:sz w:val="28"/>
          <w:szCs w:val="28"/>
        </w:rPr>
        <w:t xml:space="preserve"> (помечено аббревиатурой ССЖ).</w:t>
      </w:r>
      <w:r/>
    </w:p>
    <w:p>
      <w:pPr>
        <w:ind w:firstLine="709"/>
        <w:jc w:val="center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center"/>
        <w:spacing w:after="240" w:line="276" w:lineRule="auto"/>
        <w:tabs>
          <w:tab w:val="left" w:pos="23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Список используемой литературы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используемой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литературы для обоснования адекватной потребности и оптимального соотношение доли макронутриентов </w:t>
      </w:r>
      <w:r>
        <w:rPr>
          <w:rFonts w:ascii="Times New Roman" w:hAnsi="Times New Roman" w:cs="Times New Roman"/>
          <w:sz w:val="28"/>
          <w:szCs w:val="28"/>
        </w:rPr>
        <w:t xml:space="preserve">для детского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проживающего в районах Крайнего Севера и приравненных к ним местностей (пришлое европейское население)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 xml:space="preserve">МР 2.4.5 0146-19 "Организация питания детей дошкольного и школьного возраста в организованных коллективах на территории Арктической зоны Российской Федерации"</w:t>
      </w:r>
      <w:r>
        <w:rPr>
          <w:rFonts w:ascii="Times New Roman" w:hAnsi="Times New Roman" w:cs="Times New Roman"/>
          <w:iCs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76" w:lineRule="auto"/>
        <w:tabs>
          <w:tab w:val="left" w:pos="230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 xml:space="preserve">МР 2.3.1.0253-21 «Нормы физиологических потребностей в энергии и пищевых веществах для различных групп населения Российской Федерации»</w:t>
      </w:r>
      <w:r>
        <w:rPr>
          <w:rFonts w:ascii="Times New Roman" w:hAnsi="Times New Roman" w:cs="Times New Roman"/>
          <w:iCs/>
          <w:sz w:val="28"/>
          <w:szCs w:val="28"/>
        </w:rPr>
        <w:t xml:space="preserve">;</w:t>
      </w:r>
      <w:bookmarkEnd w:id="0"/>
      <w:r/>
      <w:r/>
    </w:p>
    <w:p>
      <w:pPr>
        <w:pStyle w:val="861"/>
        <w:ind w:firstLine="709"/>
        <w:jc w:val="both"/>
        <w:spacing w:line="276" w:lineRule="auto"/>
        <w:shd w:val="clear" w:color="auto" w:fill="auto"/>
        <w:rPr>
          <w:rFonts w:eastAsiaTheme="minorHAnsi"/>
          <w:iCs/>
          <w:sz w:val="28"/>
          <w:szCs w:val="28"/>
        </w:rPr>
      </w:pPr>
      <w:r>
        <w:rPr>
          <w:rFonts w:eastAsiaTheme="minorHAnsi"/>
          <w:iCs/>
          <w:sz w:val="28"/>
          <w:szCs w:val="28"/>
        </w:rPr>
        <w:t xml:space="preserve">- </w:t>
      </w:r>
      <w:r>
        <w:rPr>
          <w:rFonts w:eastAsiaTheme="minorHAnsi"/>
          <w:iCs/>
          <w:sz w:val="28"/>
          <w:szCs w:val="28"/>
        </w:rPr>
        <w:t xml:space="preserve">Еганян Р.А. </w:t>
      </w:r>
      <w:r>
        <w:rPr>
          <w:rFonts w:eastAsiaTheme="minorHAnsi"/>
          <w:iCs/>
          <w:sz w:val="28"/>
          <w:szCs w:val="28"/>
        </w:rPr>
        <w:t xml:space="preserve">«</w:t>
      </w:r>
      <w:r>
        <w:rPr>
          <w:rFonts w:eastAsiaTheme="minorHAnsi"/>
          <w:iCs/>
          <w:sz w:val="28"/>
          <w:szCs w:val="28"/>
        </w:rPr>
        <w:t xml:space="preserve">Особенности питания жителей Крайнего Севера России (обзор литературы)</w:t>
      </w:r>
      <w:r>
        <w:rPr>
          <w:rFonts w:eastAsiaTheme="minorHAnsi"/>
          <w:iCs/>
          <w:sz w:val="28"/>
          <w:szCs w:val="28"/>
        </w:rPr>
        <w:t xml:space="preserve">»</w:t>
      </w:r>
      <w:r>
        <w:rPr>
          <w:rFonts w:eastAsiaTheme="minorHAnsi"/>
          <w:iCs/>
          <w:sz w:val="28"/>
          <w:szCs w:val="28"/>
        </w:rPr>
        <w:t xml:space="preserve">. Профилактическая медицина. 2013;16(5):41</w:t>
      </w:r>
      <w:r>
        <w:rPr>
          <w:rFonts w:eastAsiaTheme="minorHAnsi"/>
          <w:iCs/>
          <w:sz w:val="28"/>
          <w:szCs w:val="28"/>
        </w:rPr>
        <w:noBreakHyphen/>
        <w:t xml:space="preserve">47</w:t>
      </w:r>
      <w:r>
        <w:rPr>
          <w:rFonts w:eastAsiaTheme="minorHAnsi"/>
          <w:iCs/>
          <w:sz w:val="28"/>
          <w:szCs w:val="28"/>
        </w:rPr>
        <w:t xml:space="preserve">;</w:t>
      </w:r>
      <w:r/>
    </w:p>
    <w:p>
      <w:pPr>
        <w:pStyle w:val="873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- </w:t>
      </w:r>
      <w:r>
        <w:rPr>
          <w:rFonts w:eastAsiaTheme="minorHAnsi"/>
          <w:iCs/>
          <w:sz w:val="28"/>
          <w:szCs w:val="28"/>
          <w:lang w:eastAsia="en-US"/>
        </w:rPr>
        <w:t xml:space="preserve">Карамнова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>
        <w:rPr>
          <w:rFonts w:eastAsiaTheme="minorHAnsi"/>
          <w:iCs/>
          <w:sz w:val="28"/>
          <w:szCs w:val="28"/>
          <w:lang w:eastAsia="en-US"/>
        </w:rPr>
        <w:t xml:space="preserve">Н. С., </w:t>
      </w:r>
      <w:r>
        <w:rPr>
          <w:rFonts w:eastAsiaTheme="minorHAnsi"/>
          <w:iCs/>
          <w:sz w:val="28"/>
          <w:szCs w:val="28"/>
          <w:lang w:eastAsia="en-US"/>
        </w:rPr>
        <w:t xml:space="preserve">«</w:t>
      </w:r>
      <w:r>
        <w:rPr>
          <w:rFonts w:eastAsiaTheme="minorHAnsi"/>
          <w:iCs/>
          <w:sz w:val="28"/>
          <w:szCs w:val="28"/>
          <w:lang w:eastAsia="en-US"/>
        </w:rPr>
        <w:t xml:space="preserve">Особенности питания жителей Крайнего</w:t>
      </w:r>
      <w:r>
        <w:rPr>
          <w:rFonts w:eastAsiaTheme="minorHAnsi"/>
          <w:sz w:val="28"/>
          <w:szCs w:val="28"/>
          <w:lang w:eastAsia="en-US"/>
        </w:rPr>
        <w:t xml:space="preserve"> Севера России</w:t>
      </w:r>
      <w:r>
        <w:rPr>
          <w:rFonts w:eastAsiaTheme="minorHAnsi"/>
          <w:sz w:val="28"/>
          <w:szCs w:val="28"/>
          <w:lang w:eastAsia="en-US"/>
        </w:rPr>
        <w:t xml:space="preserve">». </w:t>
      </w:r>
      <w:r>
        <w:rPr>
          <w:rFonts w:eastAsiaTheme="minorHAnsi"/>
          <w:sz w:val="28"/>
          <w:szCs w:val="28"/>
          <w:lang w:eastAsia="en-US"/>
        </w:rPr>
        <w:t xml:space="preserve">Профилактическая медицин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(Профилактика заболеваний и укрепление здоровья). №№4-5, 2005</w:t>
      </w:r>
      <w:r>
        <w:rPr>
          <w:rFonts w:eastAsiaTheme="minorHAnsi"/>
          <w:sz w:val="28"/>
          <w:szCs w:val="28"/>
          <w:lang w:eastAsia="en-US"/>
        </w:rPr>
        <w:t xml:space="preserve">;</w:t>
      </w:r>
      <w:r/>
    </w:p>
    <w:p>
      <w:pPr>
        <w:pStyle w:val="873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eastAsiaTheme="minorHAnsi"/>
          <w:sz w:val="28"/>
          <w:szCs w:val="28"/>
          <w:lang w:eastAsia="en-US"/>
          <w14:ligatures w14:val="none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Панин Л.Е. </w:t>
      </w:r>
      <w:r>
        <w:rPr>
          <w:rFonts w:eastAsiaTheme="minorHAnsi"/>
          <w:sz w:val="28"/>
          <w:szCs w:val="28"/>
          <w:lang w:eastAsia="en-US"/>
        </w:rPr>
        <w:t xml:space="preserve">«</w:t>
      </w:r>
      <w:r>
        <w:rPr>
          <w:rFonts w:eastAsiaTheme="minorHAnsi"/>
          <w:sz w:val="28"/>
          <w:szCs w:val="28"/>
          <w:lang w:eastAsia="en-US"/>
        </w:rPr>
        <w:t xml:space="preserve">Биохимические механизмы стресса</w:t>
      </w:r>
      <w:r>
        <w:rPr>
          <w:rFonts w:eastAsiaTheme="minorHAnsi"/>
          <w:sz w:val="28"/>
          <w:szCs w:val="28"/>
          <w:lang w:eastAsia="en-US"/>
        </w:rPr>
        <w:t xml:space="preserve">»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>
        <w:rPr>
          <w:rFonts w:eastAsiaTheme="minorHAnsi"/>
          <w:sz w:val="28"/>
          <w:szCs w:val="28"/>
          <w:lang w:eastAsia="en-US"/>
        </w:rPr>
        <w:t xml:space="preserve">Новосибирск: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Наука: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>
        <w:rPr>
          <w:rFonts w:eastAsiaTheme="minorHAnsi"/>
          <w:sz w:val="28"/>
          <w:szCs w:val="28"/>
          <w:lang w:eastAsia="en-US"/>
        </w:rPr>
        <w:t xml:space="preserve">ибирское отделение, 1983. </w:t>
      </w:r>
      <w:r>
        <w:rPr>
          <w:rFonts w:eastAsiaTheme="minorHAnsi"/>
          <w:sz w:val="28"/>
          <w:szCs w:val="28"/>
          <w:lang w:eastAsia="en-US"/>
        </w:rPr>
      </w:r>
      <w:r/>
    </w:p>
    <w:p>
      <w:pPr>
        <w:pStyle w:val="873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eastAsiaTheme="minorHAnsi"/>
          <w:sz w:val="28"/>
          <w:szCs w:val="28"/>
          <w:lang w:eastAsia="en-US"/>
          <w14:ligatures w14:val="none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Панин Л.Е. </w:t>
      </w:r>
      <w:r>
        <w:rPr>
          <w:rFonts w:eastAsiaTheme="minorHAnsi"/>
          <w:sz w:val="28"/>
          <w:szCs w:val="28"/>
          <w:lang w:eastAsia="en-US"/>
        </w:rPr>
        <w:t xml:space="preserve">«</w:t>
      </w:r>
      <w:r>
        <w:rPr>
          <w:rFonts w:eastAsiaTheme="minorHAnsi"/>
          <w:sz w:val="28"/>
          <w:szCs w:val="28"/>
          <w:lang w:eastAsia="en-US"/>
        </w:rPr>
        <w:t xml:space="preserve">Адаптация и питание человека в экстремальных условиях </w:t>
      </w:r>
      <w:r>
        <w:rPr>
          <w:rFonts w:eastAsiaTheme="minorHAnsi"/>
          <w:sz w:val="28"/>
          <w:szCs w:val="28"/>
          <w:lang w:eastAsia="en-US"/>
        </w:rPr>
        <w:t xml:space="preserve">Арктики» М.</w:t>
      </w:r>
      <w:r>
        <w:rPr>
          <w:rFonts w:eastAsiaTheme="minorHAnsi"/>
          <w:sz w:val="28"/>
          <w:szCs w:val="28"/>
          <w:lang w:eastAsia="en-US"/>
        </w:rPr>
        <w:t xml:space="preserve">: Наука, 1974</w:t>
      </w:r>
      <w:r>
        <w:rPr>
          <w:rFonts w:eastAsiaTheme="minorHAnsi"/>
          <w:sz w:val="28"/>
          <w:szCs w:val="28"/>
          <w:lang w:eastAsia="en-US"/>
        </w:rPr>
        <w:t xml:space="preserve">;</w:t>
      </w:r>
      <w:r>
        <w:rPr>
          <w:rFonts w:eastAsiaTheme="minorHAnsi"/>
          <w:sz w:val="28"/>
          <w:szCs w:val="28"/>
          <w:lang w:eastAsia="en-US"/>
        </w:rPr>
      </w:r>
      <w:r/>
    </w:p>
    <w:p>
      <w:pPr>
        <w:pStyle w:val="873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eastAsiaTheme="minorHAnsi"/>
          <w:sz w:val="28"/>
          <w:szCs w:val="28"/>
          <w:lang w:eastAsia="en-US"/>
          <w14:ligatures w14:val="none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Колпаков А.Р., Розуменко А.А., Панин Л.Е.  </w:t>
      </w:r>
      <w:r>
        <w:rPr>
          <w:rFonts w:eastAsiaTheme="minorHAnsi"/>
          <w:sz w:val="28"/>
          <w:szCs w:val="28"/>
          <w:lang w:eastAsia="en-US"/>
        </w:rPr>
        <w:t xml:space="preserve">«</w:t>
      </w:r>
      <w:r>
        <w:rPr>
          <w:rFonts w:eastAsiaTheme="minorHAnsi"/>
          <w:sz w:val="28"/>
          <w:szCs w:val="28"/>
          <w:lang w:eastAsia="en-US"/>
        </w:rPr>
        <w:t xml:space="preserve">Приполярная медицина: итоги, проблемы, перспективы</w:t>
      </w:r>
      <w:r>
        <w:rPr>
          <w:rFonts w:eastAsiaTheme="minorHAnsi"/>
          <w:sz w:val="28"/>
          <w:szCs w:val="28"/>
          <w:lang w:eastAsia="en-US"/>
        </w:rPr>
        <w:t xml:space="preserve">».</w:t>
      </w:r>
      <w:r>
        <w:rPr>
          <w:rFonts w:eastAsiaTheme="minorHAnsi"/>
          <w:sz w:val="28"/>
          <w:szCs w:val="28"/>
          <w:lang w:eastAsia="en-US"/>
        </w:rPr>
        <w:t xml:space="preserve"> ФГБУ НИИ биохимии СО РАМН, </w:t>
      </w:r>
      <w:r>
        <w:rPr>
          <w:rFonts w:eastAsiaTheme="minorHAnsi"/>
          <w:sz w:val="28"/>
          <w:szCs w:val="28"/>
          <w:lang w:eastAsia="en-US"/>
        </w:rPr>
        <w:t xml:space="preserve">г. Новосибирск</w:t>
      </w:r>
      <w:r>
        <w:rPr>
          <w:rFonts w:eastAsiaTheme="minorHAnsi"/>
          <w:sz w:val="28"/>
          <w:szCs w:val="28"/>
          <w:lang w:eastAsia="en-US"/>
        </w:rPr>
        <w:t xml:space="preserve">;</w:t>
      </w:r>
      <w:r>
        <w:rPr>
          <w:rFonts w:eastAsiaTheme="minorHAnsi"/>
          <w:sz w:val="28"/>
          <w:szCs w:val="28"/>
          <w:lang w:eastAsia="en-US"/>
        </w:rPr>
      </w:r>
      <w:r/>
    </w:p>
    <w:p>
      <w:pPr>
        <w:pStyle w:val="873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Хаснулин</w:t>
      </w:r>
      <w:r>
        <w:rPr>
          <w:rFonts w:ascii="Times New Roman" w:hAnsi="Times New Roman" w:cs="Times New Roman"/>
          <w:sz w:val="28"/>
          <w:szCs w:val="28"/>
        </w:rPr>
        <w:t xml:space="preserve"> В.И.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Синдром полярного напряжения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В кн.: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Медико-экологические основы формирования, лечения и профилактики заболеваний у коренного населения Ханты-Мансийского автономного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Новосибирск 2004; 24-35.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Буганов А.А., Агабалян А.А., Ионова И.Е.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Влияние фактора питания на состояние здоровья населения Крайнего Севера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Медицина труда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промышленная экология 2003;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Тутельян В.А.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Научные основы здорового питания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М: Панорама 2010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</w:t>
      </w:r>
      <w:r>
        <w:rPr>
          <w:rFonts w:ascii="Times New Roman" w:hAnsi="Times New Roman" w:cs="Times New Roman"/>
          <w:sz w:val="28"/>
          <w:szCs w:val="28"/>
        </w:rPr>
        <w:t xml:space="preserve">Рацион, питание и предупреждение хронических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Доклад Совместного консультативного совещания экспертов ВОЗ/ФАО. ВОЗ (Женева) 2003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-567" w:right="707" w:bottom="425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Segoe UI Emoj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0571920"/>
      <w:docPartObj>
        <w:docPartGallery w:val="Page Numbers (Bottom of Page)"/>
        <w:docPartUnique w:val="true"/>
      </w:docPartObj>
      <w:rPr/>
    </w:sdtPr>
    <w:sdtContent>
      <w:p>
        <w:pPr>
          <w:pStyle w:val="86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86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</w:pPr>
    <w:r/>
    <w:r/>
  </w:p>
  <w:p>
    <w:pPr>
      <w:pStyle w:val="8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156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84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4"/>
    <w:link w:val="852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854"/>
    <w:link w:val="853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4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4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1"/>
    <w:next w:val="851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1"/>
    <w:next w:val="851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4"/>
    <w:link w:val="697"/>
    <w:uiPriority w:val="10"/>
    <w:rPr>
      <w:sz w:val="48"/>
      <w:szCs w:val="48"/>
    </w:rPr>
  </w:style>
  <w:style w:type="paragraph" w:styleId="699">
    <w:name w:val="Subtitle"/>
    <w:basedOn w:val="851"/>
    <w:next w:val="851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4"/>
    <w:link w:val="699"/>
    <w:uiPriority w:val="11"/>
    <w:rPr>
      <w:sz w:val="24"/>
      <w:szCs w:val="24"/>
    </w:rPr>
  </w:style>
  <w:style w:type="paragraph" w:styleId="701">
    <w:name w:val="Quote"/>
    <w:basedOn w:val="851"/>
    <w:next w:val="851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1"/>
    <w:next w:val="851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4"/>
    <w:link w:val="866"/>
    <w:uiPriority w:val="99"/>
  </w:style>
  <w:style w:type="character" w:styleId="706">
    <w:name w:val="Footer Char"/>
    <w:basedOn w:val="854"/>
    <w:link w:val="868"/>
    <w:uiPriority w:val="99"/>
  </w:style>
  <w:style w:type="paragraph" w:styleId="707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868"/>
    <w:uiPriority w:val="99"/>
  </w:style>
  <w:style w:type="table" w:styleId="709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8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2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5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9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2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6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4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4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paragraph" w:styleId="852">
    <w:name w:val="Heading 1"/>
    <w:basedOn w:val="851"/>
    <w:link w:val="87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53">
    <w:name w:val="Heading 2"/>
    <w:basedOn w:val="851"/>
    <w:next w:val="851"/>
    <w:link w:val="875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table" w:styleId="857">
    <w:name w:val="Table Grid"/>
    <w:basedOn w:val="85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8">
    <w:name w:val="List Paragraph"/>
    <w:basedOn w:val="851"/>
    <w:uiPriority w:val="34"/>
    <w:qFormat/>
    <w:pPr>
      <w:contextualSpacing/>
      <w:ind w:left="720"/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9">
    <w:name w:val="Strong"/>
    <w:basedOn w:val="854"/>
    <w:uiPriority w:val="22"/>
    <w:qFormat/>
    <w:rPr>
      <w:b/>
      <w:bCs/>
    </w:rPr>
  </w:style>
  <w:style w:type="character" w:styleId="860" w:customStyle="1">
    <w:name w:val="Основной текст_"/>
    <w:basedOn w:val="854"/>
    <w:link w:val="861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61" w:customStyle="1">
    <w:name w:val="Основной текст1"/>
    <w:basedOn w:val="851"/>
    <w:link w:val="860"/>
    <w:pPr>
      <w:ind w:firstLine="400"/>
      <w:spacing w:after="0" w:line="264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62" w:customStyle="1">
    <w:name w:val="Другое_"/>
    <w:basedOn w:val="854"/>
    <w:link w:val="864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63" w:customStyle="1">
    <w:name w:val="Колонтитул_"/>
    <w:basedOn w:val="854"/>
    <w:link w:val="865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64" w:customStyle="1">
    <w:name w:val="Другое"/>
    <w:basedOn w:val="851"/>
    <w:link w:val="862"/>
    <w:pPr>
      <w:ind w:firstLine="400"/>
      <w:spacing w:after="0" w:line="264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65" w:customStyle="1">
    <w:name w:val="Колонтитул"/>
    <w:basedOn w:val="851"/>
    <w:link w:val="863"/>
    <w:pPr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66">
    <w:name w:val="Header"/>
    <w:basedOn w:val="851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Верхний колонтитул Знак"/>
    <w:basedOn w:val="854"/>
    <w:link w:val="866"/>
    <w:uiPriority w:val="99"/>
  </w:style>
  <w:style w:type="paragraph" w:styleId="868">
    <w:name w:val="Footer"/>
    <w:basedOn w:val="851"/>
    <w:link w:val="8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9" w:customStyle="1">
    <w:name w:val="Нижний колонтитул Знак"/>
    <w:basedOn w:val="854"/>
    <w:link w:val="868"/>
    <w:uiPriority w:val="99"/>
  </w:style>
  <w:style w:type="paragraph" w:styleId="870">
    <w:name w:val="Balloon Text"/>
    <w:basedOn w:val="851"/>
    <w:link w:val="8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 w:customStyle="1">
    <w:name w:val="Текст выноски Знак"/>
    <w:basedOn w:val="854"/>
    <w:link w:val="870"/>
    <w:uiPriority w:val="99"/>
    <w:semiHidden/>
    <w:rPr>
      <w:rFonts w:ascii="Tahoma" w:hAnsi="Tahoma" w:cs="Tahoma"/>
      <w:sz w:val="16"/>
      <w:szCs w:val="16"/>
    </w:rPr>
  </w:style>
  <w:style w:type="character" w:styleId="872">
    <w:name w:val="annotation reference"/>
    <w:basedOn w:val="854"/>
    <w:rPr>
      <w:rFonts w:cs="Times New Roman"/>
      <w:sz w:val="16"/>
      <w:szCs w:val="16"/>
    </w:rPr>
  </w:style>
  <w:style w:type="paragraph" w:styleId="873">
    <w:name w:val="Normal (Web)"/>
    <w:basedOn w:val="85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4" w:customStyle="1">
    <w:name w:val="Заголовок 1 Знак"/>
    <w:basedOn w:val="854"/>
    <w:link w:val="852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75" w:customStyle="1">
    <w:name w:val="Заголовок 2 Знак"/>
    <w:basedOn w:val="854"/>
    <w:link w:val="85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6">
    <w:name w:val="annotation text"/>
    <w:basedOn w:val="851"/>
    <w:link w:val="87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77" w:customStyle="1">
    <w:name w:val="Текст примечания Знак"/>
    <w:basedOn w:val="854"/>
    <w:link w:val="876"/>
    <w:uiPriority w:val="99"/>
    <w:semiHidden/>
    <w:rPr>
      <w:sz w:val="20"/>
      <w:szCs w:val="20"/>
    </w:rPr>
  </w:style>
  <w:style w:type="paragraph" w:styleId="878">
    <w:name w:val="annotation subject"/>
    <w:basedOn w:val="876"/>
    <w:next w:val="876"/>
    <w:link w:val="879"/>
    <w:uiPriority w:val="99"/>
    <w:semiHidden/>
    <w:unhideWhenUsed/>
    <w:rPr>
      <w:b/>
      <w:bCs/>
    </w:rPr>
  </w:style>
  <w:style w:type="character" w:styleId="879" w:customStyle="1">
    <w:name w:val="Тема примечания Знак"/>
    <w:basedOn w:val="877"/>
    <w:link w:val="878"/>
    <w:uiPriority w:val="99"/>
    <w:semiHidden/>
    <w:rPr>
      <w:b/>
      <w:bCs/>
      <w:sz w:val="20"/>
      <w:szCs w:val="20"/>
    </w:rPr>
  </w:style>
  <w:style w:type="paragraph" w:styleId="880" w:customStyle="1">
    <w:name w:val="s_1"/>
    <w:basedOn w:val="85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1">
    <w:name w:val="Hyperlink"/>
    <w:basedOn w:val="854"/>
    <w:uiPriority w:val="99"/>
    <w:semiHidden/>
    <w:unhideWhenUsed/>
    <w:rPr>
      <w:color w:val="0000ff"/>
      <w:u w:val="single"/>
    </w:rPr>
  </w:style>
  <w:style w:type="character" w:styleId="882" w:customStyle="1">
    <w:name w:val="s_10"/>
    <w:basedOn w:val="85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https://base.garant.ru/12117866/da886ff15d710e23b07f0b0e38e409fa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Баздырев</dc:creator>
  <cp:revision>8</cp:revision>
  <dcterms:created xsi:type="dcterms:W3CDTF">2022-10-27T07:56:00Z</dcterms:created>
  <dcterms:modified xsi:type="dcterms:W3CDTF">2023-09-13T06:55:59Z</dcterms:modified>
</cp:coreProperties>
</file>