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widowControl w:val="off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Объявление 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74"/>
        <w:jc w:val="center"/>
        <w:rPr>
          <w:rFonts w:ascii="Times New Roman" w:hAnsi="Times New Roman"/>
          <w:color w:val="auto"/>
          <w:sz w:val="26"/>
          <w:szCs w:val="26"/>
          <w:highlight w:val="none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о конкурсе по формированию</w:t>
      </w:r>
      <w:r>
        <w:rPr>
          <w:rFonts w:ascii="Times New Roman" w:hAnsi="Times New Roman"/>
          <w:color w:val="auto"/>
          <w:sz w:val="26"/>
          <w:szCs w:val="26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6"/>
          <w:szCs w:val="26"/>
        </w:rPr>
        <w:t xml:space="preserve">кадрового резерва </w:t>
      </w:r>
      <w:r>
        <w:rPr>
          <w:rFonts w:ascii="Times New Roman" w:hAnsi="Times New Roman"/>
          <w:color w:val="auto"/>
          <w:sz w:val="26"/>
          <w:szCs w:val="26"/>
        </w:rPr>
        <w:t xml:space="preserve">на должности муниципальной службы главной группы, учреждаемые для выполнения функции «руководитель» </w:t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  <w:highlight w:val="none"/>
        </w:rPr>
      </w:r>
    </w:p>
    <w:p>
      <w:pPr>
        <w:pStyle w:val="874"/>
        <w:jc w:val="center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</w:rPr>
        <w:t xml:space="preserve">в департаменте финансов администрации города Нефтеюганска</w:t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pStyle w:val="874"/>
        <w:jc w:val="left"/>
        <w:rPr>
          <w:rFonts w:ascii="Times New Roman" w:hAnsi="Times New Roman"/>
          <w:color w:val="auto"/>
          <w:sz w:val="26"/>
          <w:szCs w:val="26"/>
        </w:rPr>
      </w:pPr>
      <w:r>
        <w:rPr>
          <w:rFonts w:ascii="Times New Roman" w:hAnsi="Times New Roman"/>
          <w:color w:val="auto"/>
          <w:sz w:val="26"/>
          <w:szCs w:val="26"/>
          <w:highlight w:val="none"/>
        </w:rPr>
      </w:r>
      <w:r>
        <w:rPr>
          <w:rFonts w:ascii="Times New Roman" w:hAnsi="Times New Roman"/>
          <w:color w:val="auto"/>
          <w:sz w:val="26"/>
          <w:szCs w:val="26"/>
        </w:rPr>
      </w:r>
      <w:r>
        <w:rPr>
          <w:rFonts w:ascii="Times New Roman" w:hAnsi="Times New Roman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1.Постановлением главы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от 05.08.2025 №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71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  <w:t xml:space="preserve">«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6"/>
          <w:szCs w:val="26"/>
        </w:rPr>
        <w:t xml:space="preserve">Об объявлении конкурса для включения в кадровый резерв   администрации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» объявл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ен конкурс для включения в кадровый резерв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на должности муниципальной службы главной группы, учреждаемые для выполнения функции «руководитель»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департаменте финансов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города Нефтеюганска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согласно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приложению </w:t>
        <w:br/>
        <w:t xml:space="preserve">№ 1 к настоящему объявлению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</w:t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  <w:r>
        <w:rPr>
          <w:rFonts w:ascii="Times New Roman" w:hAnsi="Times New Roman"/>
          <w:b w:val="0"/>
          <w:bCs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Конкурс проводится согласно поря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дку, утверждённому постановлением главы города Нефтеюганска от 22.06.2017 № 52 «О кадровом резерве органов местного самоуправления города Нефтеюганска».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Право на участие в конкурсе имеют граждане Российской Федерации, граждане иностранных государств - уча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стников международных договоров Российской Федерации, в соответствии с которыми иностранные граждане имеют право находиться на муниципальной службе (далее – граждане, кандидат), достигшие 18-летнего возраста, не старше 65 лет, не имеющие судимости, препятс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твующей замещению должности муниципальной службы, не признанные недееспособными либо ограниченно дееспособными по вступившему в законную силу решению суда, не имеющие заболеваний, препятствующих назначению на должность муниципальной службы.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2.Кандидат пре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дставляет лично в рабочие дни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либо направляет почтовым отправлением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в комиссию следующие документы: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1)заявление об участии в конкурсе по форме согласно приложению № 2 к настоящему объявлению;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2)заполненную и подписанную анкету по форме, утверждённой </w:t>
      </w:r>
      <w:r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 xml:space="preserve">Указ</w:t>
      </w:r>
      <w:r>
        <w:rPr>
          <w:rFonts w:ascii="Times New Roman" w:hAnsi="Times New Roman"/>
          <w:b w:val="0"/>
          <w:color w:val="auto"/>
          <w:sz w:val="26"/>
          <w:szCs w:val="26"/>
          <w:shd w:val="clear" w:color="auto" w:fill="ffffff"/>
        </w:rPr>
        <w:t xml:space="preserve">ом Президента Российской Федерации от 10.10.2024 № 870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3)одну цветную фотографию формата 4x6 см;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4)копию паспорта со всеми листами, имеющими отметки;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5)копии документов об образовании, профессиональной переподготовке, повышении квалификации, стажировке, п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рисвоении учёной степени, учёного звания (если таковые имеются);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6)копию трудовой книжки и (или) сведения о трудовой деятельности (</w:t>
      </w:r>
      <w:hyperlink r:id="rId11" w:tooltip="consultantplus://offline/ref=8C7288A883922E704BBFBD81D9A4153AD550F34EC0ACEB251B61E3A569C8F3F4F1A96F279B1E87D69FC21F68E03A50779AA64A19D86Fe0UE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статья 66.1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Трудового кодекса Российской Федерации), за исключением случае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в, если трудовой договор заключается впервые, заверенные кадровой службой по месту работы (службы)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для лиц, состоящих в трудовых отношениях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7)копию документа, подтверждающий регистрацию в системе индивидуального (персонифицированного) учёта, за исключение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м случаев, когда трудовой договор (контракт) заключается впервые;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8)копию свидетельство о постановке физического лица на учёт в налоговом органе по месту жительства на территории Российской Федерации;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9)копии документов воинского учёта - для граждан, пребы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вающих в запасе, и лиц, подлежащих призыву на военную службу;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10)заключение медицинской организации об отсутствии заболевания, препятствующего поступлению на муниципальную службу или ее прохождению, по </w:t>
      </w:r>
      <w:hyperlink r:id="rId12" w:tooltip="consultantplus://offline/ref=C543BE1B007CC89C259EE392F8F88D3CE9F14FA8835A57DC5088206EC16EC6633DBF3FB9ADD166T4SA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форме № 001-ГС/У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(муниципальный служащий органа местного самоуп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равления города Нефтеюганска предоставляют копию заключения медицинской организации);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11)сведения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о  доходах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за год предшествующий году подачи заявления для участия в конкурсе для включения в кадровый резерв, об имуществе и обязательствах имущественного ха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рактера своих, а также сведения о доходах,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12)сведения, предусмотренные </w:t>
      </w:r>
      <w:hyperlink r:id="rId13" w:tooltip="consultantplus://offline/ref=DDDEDEAA8869691DC51832608F6C18C940FAF0AFF3213FC68F14175AD4A1EC6AF3BB661BFCD5C61F3BECE86BE0FFE8BD5689DCFA640540DFS4L3I" w:history="1">
        <w:r>
          <w:rPr>
            <w:rFonts w:ascii="Times New Roman" w:hAnsi="Times New Roman"/>
            <w:b w:val="0"/>
            <w:color w:val="auto"/>
            <w:sz w:val="26"/>
            <w:szCs w:val="26"/>
          </w:rPr>
          <w:t xml:space="preserve">статьей 15.1</w:t>
        </w:r>
      </w:hyperlink>
      <w:r>
        <w:rPr>
          <w:rFonts w:ascii="Times New Roman" w:hAnsi="Times New Roman"/>
          <w:b w:val="0"/>
          <w:color w:val="auto"/>
          <w:sz w:val="26"/>
          <w:szCs w:val="26"/>
        </w:rPr>
        <w:t xml:space="preserve"> Федерального закона от 02.03.2007                № 25-ФЗ «О муниципальной службе в Российской Федерации»;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13)справку о наличии (отсутствии) судимости и (или) факта уголовного преследован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ия либо о прекращении уголовного преследования по реабилитирующим основаниям;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14)справки из налогового органа: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14.1)о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том, что гражданин не зарегистрирован в качестве индивидуального предпринимателя; 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14.2)о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том, что гражданин не является руководителем и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учредителем юридического лица;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14.3)о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наличии (отсутствии) сведений, содержащихся в Реестре дисквалифицированных лиц.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случае представления документов лично кандидат предъявляет оригиналы для сверки, при направлении документов почтовым оправлением они должны быть заверены надлежащим образом.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1.Кандидат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по желанию может представить другие документы, характеризующие его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профессиональную подготовку: рекомендательные письма, характеристику с места работы, документы об участии в различных конкурсах на лучшего по профессии, о результатах научной деятельности, о наличии наград, званий и т.п.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widowControl w:val="off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Указанные документы представляются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виде копий (с предъявлением оригиналов для сверки либо заверенных надлежащим образом в случае направления документов почтовым отправлением).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9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Пакет документов представляется в папке с прозрачными файлами формата А4.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2.2.Конкурс проводится в два этапа: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1 эта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 – конкурс документов;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2 этап – конкурсное испытание: доклад о планируемой деятельности на управленческой должности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(возможно на основании заявления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кандидата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, по решению комиссии,    проведение с использованием видеоконференцсвязи)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и собеседование.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Тема доклада: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«Планируемая деятельность на управленческой должности заместителя директора (заместителя директора департамента-главного бухгалтера) департамента финансов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администрации города Нефтеюганска и механизмы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совершенствования деятельности»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Требования к докладу: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-регламент выступления - не более 10 минут;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-доклад должен содержать предложения о деятельности руководителя, в том числе направленные на повышение эффек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тивности деятельности учреждения.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 качестве дополнительного испытания определено собеседование.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  <w:t xml:space="preserve">Первый этап конкурса состоится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09.09.2025 в 11 час. 00 мин.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  2 микрорайон, 25 дом, малый зал администрации города Нефтеюганска.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Второй этап Конкурса состоится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19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.09.2025 в 15 час. 00 мин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. по местному времени по адресу: Ханты-Мансийский автономный округ - Югра, город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Нефтеюганск,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                           2 микрорайон, 25 дом, малый зал администрации города Нефтеюганска. 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ind w:firstLine="708"/>
        <w:jc w:val="both"/>
        <w:rPr>
          <w:rFonts w:ascii="Times New Roman" w:hAnsi="Times New Roman"/>
          <w:b w:val="0"/>
          <w:color w:val="auto"/>
          <w:sz w:val="26"/>
          <w:szCs w:val="26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 xml:space="preserve">Документы для участия в конкурсе принимаются комиссией при главе города Нефтеюганска по формированию кадрового резерва администрации города Нефтеюганска в рабоч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ие дни с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09.08.2025 по 07.09.2025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по адресу: Ханты-Мансийский автономный округ - Югра, город Нефтеюганск, 2 микрорайон, 25 дом, кабинет № 108в, понедельник с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 09.00 до 18.00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часов, вторник - пятница с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09.00 до 17.00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часов, перерыв на обед с 13.00 до 14.00 ч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асов, суббота, воскресенье – выходные дни. Телефоны для справок: 8 (3463) </w:t>
      </w:r>
      <w:r>
        <w:rPr>
          <w:rFonts w:ascii="Times New Roman" w:hAnsi="Times New Roman"/>
          <w:b w:val="0"/>
          <w:color w:val="auto"/>
          <w:sz w:val="26"/>
          <w:szCs w:val="26"/>
        </w:rPr>
        <w:t xml:space="preserve">23 77 56, 23 77 37, 23 77 10.</w:t>
      </w:r>
      <w:r>
        <w:rPr>
          <w:rFonts w:ascii="Times New Roman" w:hAnsi="Times New Roman"/>
          <w:b w:val="0"/>
          <w:color w:val="auto"/>
          <w:sz w:val="26"/>
          <w:szCs w:val="26"/>
        </w:rPr>
      </w:r>
      <w:r>
        <w:rPr>
          <w:rFonts w:ascii="Times New Roman" w:hAnsi="Times New Roman"/>
          <w:b w:val="0"/>
          <w:color w:val="auto"/>
          <w:sz w:val="26"/>
          <w:szCs w:val="26"/>
        </w:rPr>
      </w:r>
    </w:p>
    <w:p>
      <w:pPr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6"/>
          <w:szCs w:val="26"/>
        </w:rPr>
        <w:tab/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  <w:r>
        <w:rPr>
          <w:rFonts w:ascii="Times New Roman" w:hAnsi="Times New Roman"/>
          <w:b w:val="0"/>
          <w:color w:val="auto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1 к объявлению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tbl>
      <w:tblPr>
        <w:tblStyle w:val="877"/>
        <w:tblW w:w="9918" w:type="dxa"/>
        <w:tblLook w:val="04A0" w:firstRow="1" w:lastRow="0" w:firstColumn="1" w:lastColumn="0" w:noHBand="0" w:noVBand="1"/>
      </w:tblPr>
      <w:tblGrid>
        <w:gridCol w:w="736"/>
        <w:gridCol w:w="2433"/>
        <w:gridCol w:w="6749"/>
      </w:tblGrid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№ п/п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pStyle w:val="878"/>
              <w:jc w:val="center"/>
              <w:widowControl w:val="off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Наименование должности - группа должностей</w:t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  <w:r>
              <w:rPr>
                <w:rFonts w:ascii="Times New Roman" w:hAnsi="Times New Roman"/>
                <w:b w:val="0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sz w:val="26"/>
                <w:szCs w:val="26"/>
              </w:rPr>
              <w:t xml:space="preserve">1.</w:t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  <w:r>
              <w:rPr>
                <w:rFonts w:ascii="Times New Roman" w:hAnsi="Times New Roman"/>
                <w:b w:val="0"/>
                <w:sz w:val="26"/>
                <w:szCs w:val="26"/>
              </w:rPr>
            </w:r>
          </w:p>
        </w:tc>
        <w:tc>
          <w:tcPr>
            <w:gridSpan w:val="2"/>
            <w:tcW w:w="9182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директора департамента финансов–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главная/«руководитель»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профессиональным знаниям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олжен обладать следующими знаниями: государственного язы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 Российской Федерации (русского языка), Конституции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Бюджетного кодекса Российской Федерации; Налогового кодекса Российской Федерации; Кодекса об административных правонарушениях»; Федерального закона от 06.10.200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 № 131-ФЗ «Об общих принципах организации местного самоуправления в Российской Федерации»;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Федерального закона от 20.03.2025 </w:t>
              <w:br/>
              <w:t xml:space="preserve">№ 33-ФЗ «Об общих принципах организации местного самоуправления в единой системе публичной власти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Федерального закона 27.07.2006 № 152-ФЗ «О персональных данных»; Федерального закона от 02.05.2006 № 59-ФЗ «О порядке рассмотрения обращений граждан Российской Федерации»; Федерального </w:t>
            </w:r>
            <w:hyperlink r:id="rId14" w:tooltip="consultantplus://offline/ref=B84B9ED2EF5D2DEDF34A09FD8270FDC89124322787B2E86C276986E0485C58100786FC5B4D3925258F643E12C5y0LDJ" w:history="1">
              <w:r>
                <w:rPr>
                  <w:rStyle w:val="886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закон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06.12.2011 № 402-ФЗ «О бухгалтерском учете»; Федерального закона от 28.06.2014 № 172-ФЗ «О 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ратегическом планировании в Российской Федерации»,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Закона Российской Федерации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 21.07.1993 № 5485-1 «О государственной тайне»;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Минфина России от 28.12.2010 № 191н «Об утверждении Инструкции о порядке составления и предс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тавления годовой, квартальной и месячной отчетности об исполнении бюджетов бюджетной системы Российской Федерации»; приказа Минфина РФ от 06.12.2010 № 162н «Об утверждении Плана счетов бюджетного учета и Инструкции по его применению»;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приказа Минфина РФ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от 15.04.20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приказа Минфина России от 25.03.2011 № 33н «Об утверждении Инструкции о порядке составления, представления годовой, квартальной бухга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лтерской отчетности государственных (муниципальных) бюджетных и автономных учреждений»; 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осударственными внебюджетными фондами, государственными (муниципальными) учреждениями, и Методических указаний по их применению»; закона Ханты-Мансийского автономного округа – Югры от 10.11.2008 № 132-оз «О межбюджетных отношениях в Ханты-Мансийском автоно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мном округе – Югре», закона Ханты-Мансийского автономного округа – Югры от 20.07.2007 № 99-оз  «Об отдельных вопросах организации и осуществления бюджетного процесса в Ханты-Мансийском автономном округе – Югре», распоряжения Правительства Ханты-Мансийского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автономного округа – Югры «Об основных направлениях налоговой, бюджетной и долговой политики Ханты-Мансийского автономного округа - Югры, характеристиках проекта закона о бюджете Ханты-Мансийского автономного округа - Югры на очередной финансовый  год и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 плановый период»; законов Ханты-Мансийского автономного округа – Югры в сфере налогообложения; муниципальных правовых актов в сфере налогообложения, о бюджетном устройстве и бюджетном процессе в городе Нефтеюганске; о порядке составления и исполнения реш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ения о бюджете муниципального образования; иные правовые акты в сфере бюджетного, налогового законодательства, принимаемые органами местного самоуправления города Нефтеюганска; законодательства о противодействии коррупции; законов и иных нормативных правов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занностей в соответствующей области.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1.3.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умениям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b w:val="0"/>
                <w:bCs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организаций; соблюдать этику делового общения при взаимодействии с гражданами.</w:t>
            </w:r>
            <w:r>
              <w:rPr>
                <w:b w:val="0"/>
                <w:bCs w:val="0"/>
                <w:szCs w:val="24"/>
              </w:rPr>
            </w:r>
            <w:r>
              <w:rPr>
                <w:b w:val="0"/>
                <w:bCs w:val="0"/>
                <w:szCs w:val="24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gridSpan w:val="2"/>
            <w:tcW w:w="9182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аместитель директора департамента-главный бухгалтер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center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главная/«руководитель»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2.1.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Квалификационные требования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Высшее образование, не менее двух лет стажа муниципальной службы или стажа работы по специальности, направлению подготовки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2.2.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профессиональным знаниям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vMerge w:val="restart"/>
            <w:textDirection w:val="lrTb"/>
            <w:noWrap w:val="false"/>
          </w:tcPr>
          <w:p>
            <w:pPr>
              <w:jc w:val="both"/>
              <w:tabs>
                <w:tab w:val="left" w:pos="709" w:leader="none"/>
              </w:tabs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Д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олжен обладать следующими знаниями: государственного язы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ка Российской Федерации (русского языка), Конституции Российской Федерации,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Бюджетного кодекса Российской Федерации; Налогового кодекса Российской Федерации; Кодекса об административных правонарушениях»; Федерального закона от 06.10.200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3 № 131-ФЗ «Об общих принципах организации местного самоуправления в Российской Федерации»;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Федерального закона от 20.03.2025 </w:t>
              <w:br/>
              <w:t xml:space="preserve">№ 33-ФЗ «Об общих принципах организации местного самоуправления в единой системе публичной власти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,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Федерального закона от 02.03.2007 № 25-ФЗ «О муниципальной службе в Российской Федерации»; Федерального закона от 25.12.2008 № 273-ФЗ «О противодействии коррупции»;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Федерального закона 27.07.2006 № 152-ФЗ «О персональных данных»; Федерального закона от 02.05.2006 № 59-ФЗ «О порядке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рассмотрения обращений граждан Российской Федерации»; Федерального закона от 12.01.1996 № 7-ФЗ «О некоммерческих организациях»; Федерального закона от 27.07.2010 № 210-ФЗ «Об организации предоставления государственных и муниципальных услуг»; Федерального </w:t>
            </w:r>
            <w:hyperlink r:id="rId15" w:tooltip="consultantplus://offline/ref=B84B9ED2EF5D2DEDF34A09FD8270FDC89124322787B2E86C276986E0485C58100786FC5B4D3925258F643E12C5y0LDJ" w:history="1">
              <w:r>
                <w:rPr>
                  <w:rStyle w:val="886"/>
                  <w:rFonts w:ascii="Times New Roman" w:hAnsi="Times New Roman" w:eastAsia="Times New Roman" w:cs="Times New Roman"/>
                  <w:b w:val="0"/>
                  <w:bCs w:val="0"/>
                  <w:color w:val="000000"/>
                  <w:sz w:val="24"/>
                  <w:szCs w:val="24"/>
                  <w:u w:val="none"/>
                </w:rPr>
                <w:t xml:space="preserve">закон</w:t>
              </w:r>
            </w:hyperlink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 от 05.04.2013 № 44-ФЗ «О контрактной системе в сфере закупок товаров, работ, услуг для обеспечения государственных и муниципальных нужд»; Федерального закона от 06.12.2011 № 402-ФЗ «О бухгалтерском учете»; Федерального закона от 28.06.2014 № 172-ФЗ «О ст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ратегическом планировании в Российской Федерации»,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  <w:highlight w:val="white"/>
              </w:rPr>
              <w:t xml:space="preserve">Закона Российской Федерации 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 21.07.1993 № 5485-1 «О государственной тайне»;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применению», приказа Минфина России от 28.12.2010 № 191н «Об утверждении Инструкции о порядке составления и предс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тавления годовой, квартальной и месячной отчетности об исполнении бюджетов бюджетной системы Российской Федерации»; приказа Минфина РФ от 06.12.2010 № 162н «Об утверждении Плана счетов бюджетного учета и Инструкции по его применению»;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приказа Минфина РФ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от 15.04.20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21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применению»;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приказа Минфина России от 25.03.2011 № 33н «Об утверждении Инструкции о порядке составления, представления годовой, квартальной бухга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лтерской отчетности государственных (муниципальных) бюджетных и автономных учреждений»; приказ Минфина России от 24.05.2022 № 82н «О Порядке формирования и применения кодов бюджетной классификации Российской Федерации, их структуре и принципах назначения»;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приказа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осударственными внебюджетными фондами, государственными (муниципальными) учреждениями, и Методических указаний по их применению»; закона Ханты-Мансийского автономного округа – Югры от 10.11.2008 № 132-оз «О межбюджетных отношениях в Ханты-Мансийском автоно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мном округе – Югре», закона Ханты-Мансийского автономного округа – Югры от 20.07.2007 № 99-оз  «Об отдельных вопросах организации и осуществления бюджетного процесса в Ханты-Мансийском автономном округе – Югре», распоряжения Правительства Ханты-Мансийского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автономного округа – Югры «Об основных направлениях налоговой, бюджетной и долговой политики Ханты-Мансийского автономного округа - Югры, характеристиках проекта закона о бюджете Ханты-Мансийского автономного округа - Югры на очередной финансовый  год и н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 плановый период»; законов Ханты-Мансийского автономного округа – Югры в сфере налогообложения; муниципальных правовых актов в сфере налогообложения, о бюджетном устройстве и бюджетном процессе в городе Нефтеюганске; о порядке составления и исполнения реш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ения о бюджете муниципального образования; иные правовые акты в сфере бюджетного, налогового законодательства, принимаемые органами местного самоуправления города Нефтеюганска; законодательства о противодействии коррупции; законов и иных нормативных правов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ых актов субъекта Российской Федерации; муниципальных правовых актов города Нефтеюганска; Устава города Нефтеюганска; Кодекса этики и служебного поведения муниципальных служащих органов местного самоуправления города Нефтеюганска; правил и норм охраны труд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а, техники безопасности и противопожарной защиты; Правил внутреннего трудового распорядка администрации города Нефтеюганска; общих вопросов в области обеспечения информационной безопасности; иными знаниями, которые необходимы для исполнения должностных обя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занностей в соответствующей области. 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</w:r>
          </w:p>
        </w:tc>
      </w:tr>
      <w:tr>
        <w:tblPrEx/>
        <w:trPr/>
        <w:tc>
          <w:tcPr>
            <w:tcW w:w="736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2.3.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2433" w:type="dxa"/>
            <w:vMerge w:val="restart"/>
            <w:textDirection w:val="lrTb"/>
            <w:noWrap w:val="false"/>
          </w:tcPr>
          <w:p>
            <w:pPr>
              <w:jc w:val="both"/>
              <w:widowControl w:val="off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Требования к умениям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</w:r>
          </w:p>
        </w:tc>
        <w:tc>
          <w:tcPr>
            <w:tcW w:w="6749" w:type="dxa"/>
            <w:vMerge w:val="restart"/>
            <w:textDirection w:val="lrTb"/>
            <w:noWrap w:val="false"/>
          </w:tcPr>
          <w:p>
            <w:pPr>
              <w:ind w:left="0" w:right="0" w:firstLine="0"/>
              <w:jc w:val="both"/>
              <w:spacing w:before="0" w:after="0"/>
              <w:shd w:val="clear" w:color="ffffff" w:fill="ffffff"/>
              <w:rPr>
                <w:b w:val="0"/>
                <w:bCs w:val="0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работать в информационно-правовых системах; работать на компьютере, в том числе сети Интернет; применять современные информационно-коммуникационные технологии в органах местного самоуправления, включая использование возможностей межведомственного документо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оборота; руководить подчиненными, эффективно планировать работу и контролировать ее выполнение; оперативно принимать и реализовывать управленческие решения; вести деловые переговоры с представителями государственных органов, органов местного самоуправления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, организаций; соблюдать этику делового общения при взаимодействии с гражданами.</w:t>
            </w:r>
            <w:r>
              <w:rPr>
                <w:b w:val="0"/>
                <w:bCs w:val="0"/>
                <w:szCs w:val="24"/>
              </w:rPr>
            </w:r>
            <w:r>
              <w:rPr>
                <w:b w:val="0"/>
                <w:bCs w:val="0"/>
                <w:szCs w:val="24"/>
              </w:rPr>
            </w:r>
          </w:p>
        </w:tc>
      </w:tr>
    </w:tbl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5664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  <w:r>
        <w:rPr>
          <w:rFonts w:ascii="Times New Roman" w:hAnsi="Times New Roman"/>
          <w:b w:val="0"/>
          <w:bCs w:val="0"/>
          <w:sz w:val="24"/>
          <w:szCs w:val="24"/>
        </w:rPr>
      </w:r>
    </w:p>
    <w:p>
      <w:pPr>
        <w:ind w:lef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Приложение № 2 к объявлению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 конкурсе по формированию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кадрового резерва управленческих кадров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на должности муниципальной службы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высшей группы, учреждаемые для выполнения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pStyle w:val="87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функции «руководитель»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5664"/>
        <w:jc w:val="right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Форма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заявления об участии в конкурсе для включения в кадровый резерв для замещения должности муниципальной службы в </w:t>
      </w:r>
      <w:r>
        <w:rPr>
          <w:rFonts w:ascii="Times New Roman" w:hAnsi="Times New Roman"/>
          <w:b w:val="0"/>
          <w:sz w:val="24"/>
          <w:szCs w:val="24"/>
        </w:rPr>
        <w:t xml:space="preserve">органе местного самоуправления города Нефтеюганска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Председателю комиссии по формированию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и подготовке кадрового резерва органа </w:t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pStyle w:val="874"/>
        <w:ind w:left="4248"/>
        <w:rPr>
          <w:rFonts w:ascii="Times New Roman" w:hAnsi="Times New Roman" w:cs="Times New Roman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  <w:t xml:space="preserve">местного самоуправления города Нефтеюганска</w:t>
      </w:r>
      <w:r>
        <w:rPr>
          <w:rFonts w:ascii="Times New Roman" w:hAnsi="Times New Roman" w:eastAsia="Times New Roman" w:cs="Times New Roman"/>
        </w:rPr>
        <w:t xml:space="preserve">                  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</w:rPr>
        <w:t xml:space="preserve">______________________________________________         </w:t>
      </w:r>
      <w:r>
        <w:rPr>
          <w:rFonts w:ascii="Times New Roman" w:hAnsi="Times New Roman" w:eastAsia="Times New Roman" w:cs="Times New Roman"/>
        </w:rPr>
        <w:t xml:space="preserve">                 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(Ф.И.О. председателя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комиссии)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          </w:t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eastAsia="Times New Roman" w:cs="Times New Roman"/>
          <w:b w:val="0"/>
          <w:bCs w:val="0"/>
        </w:rPr>
        <w:tab/>
        <w:t xml:space="preserve"> ______________________________________________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                       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                                       </w:t>
      </w: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(Ф.И.О.)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                      </w:t>
      </w:r>
      <w:r>
        <w:rPr>
          <w:rFonts w:ascii="Times New Roman" w:hAnsi="Times New Roman" w:eastAsia="Times New Roman" w:cs="Times New Roman"/>
          <w:b w:val="0"/>
          <w:bCs w:val="0"/>
        </w:rPr>
        <w:tab/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u w:val="single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_________________________________</w:t>
      </w:r>
      <w:r>
        <w:rPr>
          <w:rFonts w:ascii="Times New Roman" w:hAnsi="Times New Roman" w:eastAsia="Times New Roman" w:cs="Times New Roman"/>
          <w:b w:val="0"/>
          <w:bCs w:val="0"/>
        </w:rPr>
        <w:t xml:space="preserve">_____________</w:t>
      </w:r>
      <w:r>
        <w:rPr>
          <w:rFonts w:ascii="Times New Roman" w:hAnsi="Times New Roman" w:cs="Times New Roman"/>
          <w:b w:val="0"/>
          <w:bCs w:val="0"/>
          <w:u w:val="single"/>
        </w:rPr>
      </w:r>
      <w:r>
        <w:rPr>
          <w:rFonts w:ascii="Times New Roman" w:hAnsi="Times New Roman" w:cs="Times New Roman"/>
          <w:b w:val="0"/>
          <w:bCs w:val="0"/>
          <w:u w:val="single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(наименование занимаемой должности в настоящее время)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</w:rPr>
      </w:pPr>
      <w:r>
        <w:rPr>
          <w:rFonts w:ascii="Times New Roman" w:hAnsi="Times New Roman" w:eastAsia="Times New Roman" w:cs="Times New Roman"/>
          <w:b w:val="0"/>
          <w:bCs w:val="0"/>
        </w:rPr>
        <w:t xml:space="preserve">______________________________________________</w:t>
      </w:r>
      <w:r>
        <w:rPr>
          <w:rFonts w:ascii="Times New Roman" w:hAnsi="Times New Roman" w:cs="Times New Roman"/>
          <w:b w:val="0"/>
          <w:bCs w:val="0"/>
        </w:rPr>
      </w:r>
      <w:r>
        <w:rPr>
          <w:rFonts w:ascii="Times New Roman" w:hAnsi="Times New Roman" w:cs="Times New Roman"/>
          <w:b w:val="0"/>
          <w:bCs w:val="0"/>
        </w:rPr>
      </w:r>
    </w:p>
    <w:p>
      <w:pPr>
        <w:pStyle w:val="874"/>
        <w:ind w:left="4248"/>
        <w:rPr>
          <w:rFonts w:ascii="Times New Roman" w:hAnsi="Times New Roman" w:cs="Times New Roman"/>
          <w:b w:val="0"/>
          <w:bCs w:val="0"/>
          <w:sz w:val="16"/>
          <w:szCs w:val="16"/>
        </w:rPr>
      </w:pPr>
      <w:r>
        <w:rPr>
          <w:rFonts w:ascii="Times New Roman" w:hAnsi="Times New Roman" w:eastAsia="Times New Roman" w:cs="Times New Roman"/>
          <w:b w:val="0"/>
          <w:bCs w:val="0"/>
          <w:sz w:val="16"/>
          <w:szCs w:val="16"/>
        </w:rPr>
        <w:t xml:space="preserve">(наименование учреждения, организации, предприятия)</w:t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  <w:r>
        <w:rPr>
          <w:rFonts w:ascii="Times New Roman" w:hAnsi="Times New Roman" w:cs="Times New Roman"/>
          <w:b w:val="0"/>
          <w:bCs w:val="0"/>
          <w:sz w:val="16"/>
          <w:szCs w:val="16"/>
        </w:rPr>
      </w:r>
    </w:p>
    <w:p>
      <w:pPr>
        <w:ind w:left="1188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eastAsia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  <w:r>
        <w:rPr>
          <w:rFonts w:ascii="Times New Roman" w:hAnsi="Times New Roman" w:cs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Адрес проживания 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1188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Контактный телефон 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left="48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Заявление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Прошу </w:t>
      </w:r>
      <w:r>
        <w:rPr>
          <w:rFonts w:ascii="Times New Roman" w:hAnsi="Times New Roman"/>
          <w:b w:val="0"/>
          <w:sz w:val="24"/>
          <w:szCs w:val="24"/>
        </w:rPr>
        <w:t xml:space="preserve">допустить  меня</w:t>
      </w:r>
      <w:r>
        <w:rPr>
          <w:rFonts w:ascii="Times New Roman" w:hAnsi="Times New Roman"/>
          <w:b w:val="0"/>
          <w:sz w:val="24"/>
          <w:szCs w:val="24"/>
        </w:rPr>
        <w:t xml:space="preserve">  к  участию  в конкурсе для включения в кадровый резерв для замещения должности мун</w:t>
      </w:r>
      <w:r>
        <w:rPr>
          <w:rFonts w:ascii="Times New Roman" w:hAnsi="Times New Roman"/>
          <w:b w:val="0"/>
          <w:sz w:val="24"/>
          <w:szCs w:val="24"/>
        </w:rPr>
        <w:t xml:space="preserve">иципальной службы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16"/>
          <w:szCs w:val="16"/>
        </w:rPr>
        <w:t xml:space="preserve">(наименование должности)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К заявлению прилагаю: (перечислить прилагаемые документы)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проведением в отношении меня проверочных мероприятий 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b w:val="0"/>
          <w:sz w:val="24"/>
          <w:szCs w:val="24"/>
        </w:rPr>
        <w:t xml:space="preserve">         </w:t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24"/>
          <w:szCs w:val="24"/>
        </w:rPr>
        <w:tab/>
      </w:r>
      <w:r>
        <w:rPr>
          <w:rFonts w:ascii="Times New Roman" w:hAnsi="Times New Roman"/>
          <w:b w:val="0"/>
          <w:sz w:val="16"/>
          <w:szCs w:val="16"/>
        </w:rPr>
        <w:t xml:space="preserve">  (согласен(а), не согласен(на)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Положением о кадровом резерве в органе местного самоуправления города Нефтеюганска ознакомлен ___________</w:t>
      </w:r>
      <w:r>
        <w:rPr>
          <w:rFonts w:ascii="Times New Roman" w:hAnsi="Times New Roman"/>
          <w:b w:val="0"/>
          <w:bCs/>
          <w:sz w:val="24"/>
          <w:szCs w:val="24"/>
        </w:rPr>
      </w:r>
      <w:r>
        <w:rPr>
          <w:rFonts w:ascii="Times New Roman" w:hAnsi="Times New Roman"/>
          <w:b w:val="0"/>
          <w:bCs/>
          <w:sz w:val="24"/>
          <w:szCs w:val="24"/>
        </w:rPr>
      </w:r>
    </w:p>
    <w:p>
      <w:pPr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bCs/>
          <w:sz w:val="24"/>
          <w:szCs w:val="24"/>
        </w:rPr>
        <w:t xml:space="preserve">                           </w:t>
      </w:r>
      <w:r>
        <w:rPr>
          <w:rFonts w:ascii="Times New Roman" w:hAnsi="Times New Roman"/>
          <w:b w:val="0"/>
          <w:sz w:val="16"/>
          <w:szCs w:val="16"/>
        </w:rPr>
        <w:t xml:space="preserve">(подпись)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                         _________________</w:t>
      </w:r>
      <w:r>
        <w:rPr>
          <w:rFonts w:ascii="Times New Roman" w:hAnsi="Times New Roman"/>
          <w:b w:val="0"/>
          <w:sz w:val="24"/>
          <w:szCs w:val="24"/>
        </w:rPr>
        <w:t xml:space="preserve">    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16"/>
          <w:szCs w:val="16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/>
          <w:b w:val="0"/>
          <w:sz w:val="16"/>
          <w:szCs w:val="16"/>
        </w:rPr>
        <w:t xml:space="preserve">(дата </w:t>
      </w:r>
      <w:r>
        <w:rPr>
          <w:rFonts w:ascii="Times New Roman" w:hAnsi="Times New Roman"/>
          <w:b w:val="0"/>
          <w:sz w:val="16"/>
          <w:szCs w:val="16"/>
        </w:rPr>
        <w:t xml:space="preserve">подпись)   </w:t>
      </w:r>
      <w:r>
        <w:rPr>
          <w:rFonts w:ascii="Times New Roman" w:hAnsi="Times New Roman"/>
          <w:b w:val="0"/>
          <w:sz w:val="16"/>
          <w:szCs w:val="16"/>
        </w:rPr>
        <w:t xml:space="preserve">                                                                                   (подпись)                                        (расшифровка) </w:t>
      </w:r>
      <w:r>
        <w:rPr>
          <w:rFonts w:ascii="Times New Roman" w:hAnsi="Times New Roman"/>
          <w:b w:val="0"/>
          <w:sz w:val="16"/>
          <w:szCs w:val="16"/>
        </w:rPr>
      </w:r>
      <w:r>
        <w:rPr>
          <w:rFonts w:ascii="Times New Roman" w:hAnsi="Times New Roman"/>
          <w:b w:val="0"/>
          <w:sz w:val="16"/>
          <w:szCs w:val="16"/>
        </w:rPr>
      </w:r>
    </w:p>
    <w:p>
      <w:pPr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Оборотная сторона заявления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об участии в конкурсе для </w:t>
      </w:r>
      <w:r>
        <w:rPr>
          <w:rFonts w:ascii="Times New Roman" w:hAnsi="Times New Roman"/>
          <w:b w:val="0"/>
          <w:bCs/>
          <w:sz w:val="24"/>
          <w:szCs w:val="24"/>
        </w:rPr>
        <w:t xml:space="preserve">включения в кадровый резерв для замещения должности муниципальной службы в органе местного самоуправления города Нефтеюганска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СОГЛАСИЕ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субъекта на обработку его персональных данных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Я, 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b w:val="0"/>
        </w:rPr>
        <w:t xml:space="preserve">(фамилия, имя, отчество)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документ, удостоверяющий личность: 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серия ___________ номер _______________ кем и когда выдан ________________________</w:t>
      </w:r>
      <w:r>
        <w:rPr>
          <w:rFonts w:ascii="Times New Roman" w:hAnsi="Times New Roman"/>
          <w:b w:val="0"/>
          <w:sz w:val="24"/>
          <w:szCs w:val="24"/>
        </w:rPr>
        <w:t xml:space="preserve">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_______________________________________________________________________________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в соответствии с Федеральным </w:t>
      </w:r>
      <w:hyperlink r:id="rId16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законом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 «О персональных данных»   выражаю согласие органу местного самоуправления города Нефтеюганска, расположенному  по  адресу: </w:t>
      </w:r>
      <w:r>
        <w:rPr>
          <w:rFonts w:ascii="Times New Roman" w:hAnsi="Times New Roman"/>
          <w:b w:val="0"/>
          <w:sz w:val="24"/>
          <w:szCs w:val="24"/>
        </w:rPr>
        <w:t xml:space="preserve">г.Нефтеюганск</w:t>
      </w:r>
      <w:r>
        <w:rPr>
          <w:rFonts w:ascii="Times New Roman" w:hAnsi="Times New Roman"/>
          <w:b w:val="0"/>
          <w:sz w:val="24"/>
          <w:szCs w:val="24"/>
        </w:rPr>
        <w:t xml:space="preserve">, 2 </w:t>
      </w:r>
      <w:r>
        <w:rPr>
          <w:rFonts w:ascii="Times New Roman" w:hAnsi="Times New Roman"/>
          <w:b w:val="0"/>
          <w:sz w:val="24"/>
          <w:szCs w:val="24"/>
        </w:rPr>
        <w:t xml:space="preserve">мкр</w:t>
      </w:r>
      <w:r>
        <w:rPr>
          <w:rFonts w:ascii="Times New Roman" w:hAnsi="Times New Roman"/>
          <w:b w:val="0"/>
          <w:sz w:val="24"/>
          <w:szCs w:val="24"/>
        </w:rPr>
        <w:t xml:space="preserve">., дом 25, на обрабо</w:t>
      </w:r>
      <w:r>
        <w:rPr>
          <w:rFonts w:ascii="Times New Roman" w:hAnsi="Times New Roman"/>
          <w:b w:val="0"/>
          <w:sz w:val="24"/>
          <w:szCs w:val="24"/>
        </w:rPr>
        <w:t xml:space="preserve">тку представленных мной в процессе участия в конкурсе персональных данных и использование их для функционирования информационных систем обеспечения организационной, управленческой деятельности  органа местного самоуправления города Нефтеюганска в соответст</w:t>
      </w:r>
      <w:r>
        <w:rPr>
          <w:rFonts w:ascii="Times New Roman" w:hAnsi="Times New Roman"/>
          <w:b w:val="0"/>
          <w:sz w:val="24"/>
          <w:szCs w:val="24"/>
        </w:rPr>
        <w:t xml:space="preserve">вии с законодательством Российской Федерации. 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Под персональными данными понимается следующая информация: фамилия, имя, отчество, дата и место рождения, сведения о гражданстве, паспортные данные, сведения об образовании, сведения о воинской обязанности, св</w:t>
      </w:r>
      <w:r>
        <w:rPr>
          <w:rFonts w:ascii="Times New Roman" w:hAnsi="Times New Roman"/>
          <w:b w:val="0"/>
          <w:sz w:val="24"/>
          <w:szCs w:val="24"/>
        </w:rPr>
        <w:t xml:space="preserve">едения о трудовом и общем стаже, сведения                                              о предыдущем(-их) месте(-ах) работы, сведения о составе семьи, адрес регистрации и адрес места жительства, номера личных телефонов субъекта, фотографии, информация      </w:t>
      </w:r>
      <w:r>
        <w:rPr>
          <w:rFonts w:ascii="Times New Roman" w:hAnsi="Times New Roman"/>
          <w:b w:val="0"/>
          <w:sz w:val="24"/>
          <w:szCs w:val="24"/>
        </w:rPr>
        <w:t xml:space="preserve">        об образовании, информация о назначениях и перемещениях, информация о документе, подтверждающем регистрацию в системе индивидуального (персонифицированного) учета, в том числе в форме электронного документа, информация об идентификационном номере н</w:t>
      </w:r>
      <w:r>
        <w:rPr>
          <w:rFonts w:ascii="Times New Roman" w:hAnsi="Times New Roman"/>
          <w:b w:val="0"/>
          <w:sz w:val="24"/>
          <w:szCs w:val="24"/>
        </w:rPr>
        <w:t xml:space="preserve">алогоплательщика, сведения о приказах, сведения об аттестации, сведения о дополнительном профессиональном образовании, сведения о профессиональной переподготовке, сведения о наградах (поощрениях), почетных званиях.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Под обработкой персональных данных по</w:t>
      </w:r>
      <w:r>
        <w:rPr>
          <w:rFonts w:ascii="Times New Roman" w:hAnsi="Times New Roman"/>
          <w:b w:val="0"/>
          <w:sz w:val="24"/>
          <w:szCs w:val="24"/>
        </w:rPr>
        <w:t xml:space="preserve">нимаются действия (операции) с персональными данными в рамках выполнения Федерального </w:t>
      </w:r>
      <w:hyperlink r:id="rId17" w:tooltip="consultantplus://offline/ref=0F1679D46B83A605591E2CF0383FF75F59FD4280BB3845604936256DA5R6b8I" w:history="1">
        <w:r>
          <w:rPr>
            <w:rFonts w:ascii="Times New Roman" w:hAnsi="Times New Roman"/>
            <w:b w:val="0"/>
            <w:sz w:val="24"/>
            <w:szCs w:val="24"/>
          </w:rPr>
          <w:t xml:space="preserve">закона</w:t>
        </w:r>
      </w:hyperlink>
      <w:r>
        <w:rPr>
          <w:rFonts w:ascii="Times New Roman" w:hAnsi="Times New Roman"/>
          <w:b w:val="0"/>
          <w:sz w:val="24"/>
          <w:szCs w:val="24"/>
        </w:rPr>
        <w:t xml:space="preserve"> от 27.07.2006 № 152-ФЗ, а именно:  сбор, накопление, хранение, обновление, изменение, использование, передача, обезличивание, блокирование, уничтожение.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Срок хранения моих персональных данных соответствует ср</w:t>
      </w:r>
      <w:r>
        <w:rPr>
          <w:rFonts w:ascii="Times New Roman" w:hAnsi="Times New Roman"/>
          <w:b w:val="0"/>
          <w:sz w:val="24"/>
          <w:szCs w:val="24"/>
        </w:rPr>
        <w:t xml:space="preserve">оку хранения документов в соответствии с номенклатурой дел органа местного самоуправления города Нефтеюганска.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 с тем, что мои персональные данные будут ограниченно доступны органам местного самоуправления города Нефтеюганска, вышестоящим </w:t>
      </w:r>
      <w:r>
        <w:rPr>
          <w:rFonts w:ascii="Times New Roman" w:hAnsi="Times New Roman"/>
          <w:b w:val="0"/>
          <w:sz w:val="24"/>
          <w:szCs w:val="24"/>
        </w:rPr>
        <w:t xml:space="preserve">организациям для решения задач, связанных с организацией проведения конкурса, формированием, подготовкой и использования кадрового резерва.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согласен(а), что мои персональные данные (фамилия, имя, отчество, </w:t>
      </w:r>
      <w:r>
        <w:rPr>
          <w:rFonts w:ascii="Times New Roman" w:hAnsi="Times New Roman"/>
          <w:b w:val="0"/>
          <w:sz w:val="24"/>
          <w:szCs w:val="24"/>
        </w:rPr>
        <w:t xml:space="preserve">должность,  подразделение</w:t>
      </w:r>
      <w:r>
        <w:rPr>
          <w:rFonts w:ascii="Times New Roman" w:hAnsi="Times New Roman"/>
          <w:b w:val="0"/>
          <w:sz w:val="24"/>
          <w:szCs w:val="24"/>
        </w:rPr>
        <w:t xml:space="preserve">, рабочий телефон и</w:t>
      </w:r>
      <w:r>
        <w:rPr>
          <w:rFonts w:ascii="Times New Roman" w:hAnsi="Times New Roman"/>
          <w:b w:val="0"/>
          <w:sz w:val="24"/>
          <w:szCs w:val="24"/>
        </w:rPr>
        <w:t xml:space="preserve"> адрес электронной почты) в целях информационного  обеспечения могут включаться только в официальные общедоступные источники  персональных данных органом местного самоуправления города Нефтеюганска в сети Интернет.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проинформирован(а), что конфиденциальность персональных данных соблюдается в рамках исполнения операторами законодательства Российской Федерации.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Я информирован(а) о том, что настоящее заявление действует в течение срока хранения персональных данных и может быть отозвано мной в письменной форме.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__________     _______________     ______________________________________</w:t>
      </w:r>
      <w:r>
        <w:rPr>
          <w:rFonts w:ascii="Times New Roman" w:hAnsi="Times New Roman"/>
          <w:b w:val="0"/>
          <w:sz w:val="24"/>
          <w:szCs w:val="24"/>
        </w:rPr>
      </w:r>
      <w:r>
        <w:rPr>
          <w:rFonts w:ascii="Times New Roman" w:hAnsi="Times New Roman"/>
          <w:b w:val="0"/>
          <w:sz w:val="24"/>
          <w:szCs w:val="24"/>
        </w:rPr>
      </w:r>
    </w:p>
    <w:p>
      <w:pPr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дата                  </w:t>
      </w:r>
      <w:r>
        <w:rPr>
          <w:rFonts w:ascii="Times New Roman" w:hAnsi="Times New Roman"/>
          <w:b w:val="0"/>
        </w:rPr>
        <w:t xml:space="preserve">          подпись                                                                  Ф.И.О.</w:t>
      </w:r>
      <w:r>
        <w:rPr>
          <w:rFonts w:ascii="Times New Roman" w:hAnsi="Times New Roman"/>
          <w:b w:val="0"/>
        </w:rPr>
      </w:r>
      <w:r>
        <w:rPr>
          <w:rFonts w:ascii="Times New Roman" w:hAnsi="Times New Roman"/>
          <w:b w:val="0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37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204020203"/>
  </w:font>
  <w:font w:name="Times New Roman">
    <w:panose1 w:val="02020603050405020304"/>
  </w:font>
  <w:font w:name="Pragmatica">
    <w:panose1 w:val="0200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4</w:t>
    </w:r>
    <w:r>
      <w:fldChar w:fldCharType="end"/>
    </w:r>
    <w:r/>
  </w:p>
  <w:p>
    <w:pPr>
      <w:pStyle w:val="8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48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320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392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464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536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608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680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752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824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675">
    <w:name w:val="Heading 2 Char"/>
    <w:basedOn w:val="701"/>
    <w:link w:val="693"/>
    <w:uiPriority w:val="9"/>
    <w:rPr>
      <w:rFonts w:ascii="Arial" w:hAnsi="Arial" w:eastAsia="Arial" w:cs="Arial"/>
      <w:sz w:val="34"/>
    </w:rPr>
  </w:style>
  <w:style w:type="character" w:styleId="676">
    <w:name w:val="Heading 3 Char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677">
    <w:name w:val="Heading 4 Char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678">
    <w:name w:val="Heading 5 Char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679">
    <w:name w:val="Heading 6 Char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680">
    <w:name w:val="Heading 7 Char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81">
    <w:name w:val="Heading 8 Char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682">
    <w:name w:val="Heading 9 Char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character" w:styleId="683">
    <w:name w:val="Title Char"/>
    <w:basedOn w:val="701"/>
    <w:link w:val="713"/>
    <w:uiPriority w:val="10"/>
    <w:rPr>
      <w:sz w:val="48"/>
      <w:szCs w:val="48"/>
    </w:rPr>
  </w:style>
  <w:style w:type="character" w:styleId="684">
    <w:name w:val="Subtitle Char"/>
    <w:basedOn w:val="701"/>
    <w:link w:val="715"/>
    <w:uiPriority w:val="11"/>
    <w:rPr>
      <w:sz w:val="24"/>
      <w:szCs w:val="24"/>
    </w:rPr>
  </w:style>
  <w:style w:type="character" w:styleId="685">
    <w:name w:val="Quote Char"/>
    <w:link w:val="717"/>
    <w:uiPriority w:val="29"/>
    <w:rPr>
      <w:i/>
    </w:rPr>
  </w:style>
  <w:style w:type="character" w:styleId="686">
    <w:name w:val="Intense Quote Char"/>
    <w:link w:val="719"/>
    <w:uiPriority w:val="30"/>
    <w:rPr>
      <w:i/>
    </w:rPr>
  </w:style>
  <w:style w:type="character" w:styleId="687">
    <w:name w:val="Footer Char"/>
    <w:basedOn w:val="701"/>
    <w:link w:val="722"/>
    <w:uiPriority w:val="99"/>
  </w:style>
  <w:style w:type="character" w:styleId="688">
    <w:name w:val="Caption Char"/>
    <w:basedOn w:val="701"/>
    <w:link w:val="724"/>
    <w:uiPriority w:val="35"/>
    <w:rPr>
      <w:b/>
      <w:bCs/>
      <w:color w:val="4f81bd" w:themeColor="accent1"/>
      <w:sz w:val="18"/>
      <w:szCs w:val="18"/>
    </w:rPr>
  </w:style>
  <w:style w:type="character" w:styleId="689">
    <w:name w:val="Footnote Text Char"/>
    <w:link w:val="851"/>
    <w:uiPriority w:val="99"/>
    <w:rPr>
      <w:sz w:val="18"/>
    </w:rPr>
  </w:style>
  <w:style w:type="character" w:styleId="690">
    <w:name w:val="Endnote Text Char"/>
    <w:link w:val="854"/>
    <w:uiPriority w:val="99"/>
    <w:rPr>
      <w:sz w:val="20"/>
    </w:rPr>
  </w:style>
  <w:style w:type="paragraph" w:styleId="691" w:default="1">
    <w:name w:val="Normal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692">
    <w:name w:val="Heading 1"/>
    <w:basedOn w:val="691"/>
    <w:next w:val="691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93">
    <w:name w:val="Heading 2"/>
    <w:basedOn w:val="691"/>
    <w:next w:val="691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94">
    <w:name w:val="Heading 3"/>
    <w:basedOn w:val="691"/>
    <w:next w:val="691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95">
    <w:name w:val="Heading 4"/>
    <w:basedOn w:val="691"/>
    <w:next w:val="691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Cs/>
      <w:sz w:val="26"/>
      <w:szCs w:val="26"/>
    </w:rPr>
  </w:style>
  <w:style w:type="paragraph" w:styleId="696">
    <w:name w:val="Heading 5"/>
    <w:basedOn w:val="691"/>
    <w:next w:val="691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Cs/>
      <w:sz w:val="24"/>
      <w:szCs w:val="24"/>
    </w:rPr>
  </w:style>
  <w:style w:type="paragraph" w:styleId="697">
    <w:name w:val="Heading 6"/>
    <w:basedOn w:val="691"/>
    <w:next w:val="691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Cs/>
      <w:sz w:val="22"/>
      <w:szCs w:val="22"/>
    </w:rPr>
  </w:style>
  <w:style w:type="paragraph" w:styleId="698">
    <w:name w:val="Heading 7"/>
    <w:basedOn w:val="691"/>
    <w:next w:val="691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Cs/>
      <w:i/>
      <w:iCs/>
      <w:sz w:val="22"/>
      <w:szCs w:val="22"/>
    </w:rPr>
  </w:style>
  <w:style w:type="paragraph" w:styleId="699">
    <w:name w:val="Heading 8"/>
    <w:basedOn w:val="691"/>
    <w:next w:val="691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691"/>
    <w:next w:val="691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 w:default="1">
    <w:name w:val="Default Paragraph Font"/>
    <w:uiPriority w:val="1"/>
    <w:semiHidden/>
    <w:unhideWhenUsed/>
  </w:style>
  <w:style w:type="table" w:styleId="7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3" w:default="1">
    <w:name w:val="No List"/>
    <w:uiPriority w:val="99"/>
    <w:semiHidden/>
    <w:unhideWhenUsed/>
  </w:style>
  <w:style w:type="character" w:styleId="704" w:customStyle="1">
    <w:name w:val="Заголовок 1 Знак"/>
    <w:basedOn w:val="701"/>
    <w:link w:val="692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basedOn w:val="701"/>
    <w:link w:val="693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basedOn w:val="701"/>
    <w:link w:val="694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basedOn w:val="701"/>
    <w:link w:val="695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basedOn w:val="701"/>
    <w:link w:val="696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basedOn w:val="701"/>
    <w:link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basedOn w:val="701"/>
    <w:link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basedOn w:val="701"/>
    <w:link w:val="699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basedOn w:val="701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Title"/>
    <w:basedOn w:val="691"/>
    <w:next w:val="691"/>
    <w:link w:val="71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4" w:customStyle="1">
    <w:name w:val="Заголовок Знак"/>
    <w:basedOn w:val="701"/>
    <w:link w:val="713"/>
    <w:uiPriority w:val="10"/>
    <w:rPr>
      <w:sz w:val="48"/>
      <w:szCs w:val="48"/>
    </w:rPr>
  </w:style>
  <w:style w:type="paragraph" w:styleId="715">
    <w:name w:val="Subtitle"/>
    <w:basedOn w:val="691"/>
    <w:next w:val="691"/>
    <w:link w:val="716"/>
    <w:uiPriority w:val="11"/>
    <w:qFormat/>
    <w:pPr>
      <w:spacing w:before="200" w:after="200"/>
    </w:pPr>
    <w:rPr>
      <w:sz w:val="24"/>
      <w:szCs w:val="24"/>
    </w:rPr>
  </w:style>
  <w:style w:type="character" w:styleId="716" w:customStyle="1">
    <w:name w:val="Подзаголовок Знак"/>
    <w:basedOn w:val="701"/>
    <w:link w:val="715"/>
    <w:uiPriority w:val="11"/>
    <w:rPr>
      <w:sz w:val="24"/>
      <w:szCs w:val="24"/>
    </w:rPr>
  </w:style>
  <w:style w:type="paragraph" w:styleId="717">
    <w:name w:val="Quote"/>
    <w:basedOn w:val="691"/>
    <w:next w:val="691"/>
    <w:link w:val="718"/>
    <w:uiPriority w:val="29"/>
    <w:qFormat/>
    <w:pPr>
      <w:ind w:left="720" w:right="720"/>
    </w:pPr>
    <w:rPr>
      <w:i/>
    </w:rPr>
  </w:style>
  <w:style w:type="character" w:styleId="718" w:customStyle="1">
    <w:name w:val="Цитата 2 Знак"/>
    <w:link w:val="717"/>
    <w:uiPriority w:val="29"/>
    <w:rPr>
      <w:i/>
    </w:rPr>
  </w:style>
  <w:style w:type="paragraph" w:styleId="719">
    <w:name w:val="Intense Quote"/>
    <w:basedOn w:val="691"/>
    <w:next w:val="691"/>
    <w:link w:val="72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0" w:customStyle="1">
    <w:name w:val="Выделенная цитата Знак"/>
    <w:link w:val="719"/>
    <w:uiPriority w:val="30"/>
    <w:rPr>
      <w:i/>
    </w:rPr>
  </w:style>
  <w:style w:type="character" w:styleId="721" w:customStyle="1">
    <w:name w:val="Header Char"/>
    <w:basedOn w:val="701"/>
    <w:uiPriority w:val="99"/>
  </w:style>
  <w:style w:type="paragraph" w:styleId="722">
    <w:name w:val="Footer"/>
    <w:basedOn w:val="691"/>
    <w:link w:val="723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3" w:customStyle="1">
    <w:name w:val="Нижний колонтитул Знак"/>
    <w:basedOn w:val="701"/>
    <w:link w:val="722"/>
    <w:uiPriority w:val="99"/>
  </w:style>
  <w:style w:type="paragraph" w:styleId="724">
    <w:name w:val="Caption"/>
    <w:basedOn w:val="691"/>
    <w:next w:val="691"/>
    <w:link w:val="725"/>
    <w:uiPriority w:val="35"/>
    <w:semiHidden/>
    <w:unhideWhenUsed/>
    <w:qFormat/>
    <w:pPr>
      <w:spacing w:line="276" w:lineRule="auto"/>
    </w:pPr>
    <w:rPr>
      <w:bCs/>
      <w:color w:val="5b9bd5" w:themeColor="accent1"/>
      <w:sz w:val="18"/>
      <w:szCs w:val="18"/>
    </w:rPr>
  </w:style>
  <w:style w:type="character" w:styleId="725" w:customStyle="1">
    <w:name w:val="Название объекта Знак"/>
    <w:basedOn w:val="701"/>
    <w:link w:val="724"/>
    <w:uiPriority w:val="35"/>
    <w:rPr>
      <w:b/>
      <w:bCs/>
      <w:color w:val="5b9bd5" w:themeColor="accent1"/>
      <w:sz w:val="18"/>
      <w:szCs w:val="18"/>
    </w:rPr>
  </w:style>
  <w:style w:type="table" w:styleId="726" w:customStyle="1">
    <w:name w:val="Table Grid Light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7">
    <w:name w:val="Plain Table 1"/>
    <w:basedOn w:val="702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8">
    <w:name w:val="Plain Table 2"/>
    <w:basedOn w:val="70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9">
    <w:name w:val="Plain Table 3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0">
    <w:name w:val="Plain Table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Plain Table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2">
    <w:name w:val="Grid Table 1 Light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 w:customStyle="1">
    <w:name w:val="Grid Table 1 Light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 w:customStyle="1">
    <w:name w:val="Grid Table 1 Light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Grid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Grid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 w:customStyle="1">
    <w:name w:val="Grid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4" w:customStyle="1">
    <w:name w:val="Grid Table 4 - Accent 1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5" w:customStyle="1">
    <w:name w:val="Grid Table 4 - Accent 2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6" w:customStyle="1">
    <w:name w:val="Grid Table 4 - Accent 3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7" w:customStyle="1">
    <w:name w:val="Grid Table 4 - Accent 4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58" w:customStyle="1">
    <w:name w:val="Grid Table 4 - Accent 5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59" w:customStyle="1">
    <w:name w:val="Grid Table 4 - Accent 6"/>
    <w:basedOn w:val="702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0">
    <w:name w:val="Grid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1" w:customStyle="1">
    <w:name w:val="Grid Table 5 Dark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2" w:customStyle="1">
    <w:name w:val="Grid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7">
    <w:name w:val="Grid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68" w:customStyle="1">
    <w:name w:val="Grid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69" w:customStyle="1">
    <w:name w:val="Grid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0" w:customStyle="1">
    <w:name w:val="Grid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1" w:customStyle="1">
    <w:name w:val="Grid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2" w:customStyle="1">
    <w:name w:val="Grid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3" w:customStyle="1">
    <w:name w:val="Grid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4">
    <w:name w:val="Grid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List Table 1 Light - Accent 1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List Table 1 Light - Accent 2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3"/>
    <w:basedOn w:val="702"/>
    <w:link w:val="887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4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5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6"/>
    <w:basedOn w:val="702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List Table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89" w:customStyle="1">
    <w:name w:val="List Table 2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0" w:customStyle="1">
    <w:name w:val="List Table 2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5">
    <w:name w:val="List Table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List Table 3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 w:customStyle="1">
    <w:name w:val="List Table 3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4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4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5 Dark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0" w:customStyle="1">
    <w:name w:val="List Table 5 Dark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1" w:customStyle="1">
    <w:name w:val="List Table 5 Dark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>
    <w:name w:val="List Table 6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7" w:customStyle="1">
    <w:name w:val="List Table 6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18" w:customStyle="1">
    <w:name w:val="List Table 6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19" w:customStyle="1">
    <w:name w:val="List Table 6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0" w:customStyle="1">
    <w:name w:val="List Table 6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1" w:customStyle="1">
    <w:name w:val="List Table 6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2" w:customStyle="1">
    <w:name w:val="List Table 6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3">
    <w:name w:val="List Table 7 Colorful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List Table 7 Colorful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List Table 7 Colorful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1" w:customStyle="1">
    <w:name w:val="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2" w:customStyle="1">
    <w:name w:val="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3" w:customStyle="1">
    <w:name w:val="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4" w:customStyle="1">
    <w:name w:val="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5" w:customStyle="1">
    <w:name w:val="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6" w:customStyle="1">
    <w:name w:val="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7" w:customStyle="1">
    <w:name w:val="Bordered &amp; Lined - Accent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8" w:customStyle="1">
    <w:name w:val="Bordered &amp; Lined - Accent 1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9" w:customStyle="1">
    <w:name w:val="Bordered &amp; Lined - Accent 2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0" w:customStyle="1">
    <w:name w:val="Bordered &amp; Lined - Accent 3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1" w:customStyle="1">
    <w:name w:val="Bordered &amp; Lined - Accent 4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2" w:customStyle="1">
    <w:name w:val="Bordered &amp; Lined - Accent 5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3" w:customStyle="1">
    <w:name w:val="Bordered &amp; Lined - Accent 6"/>
    <w:basedOn w:val="70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4" w:customStyle="1">
    <w:name w:val="Bordered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5" w:customStyle="1">
    <w:name w:val="Bordered - Accent 1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6" w:customStyle="1">
    <w:name w:val="Bordered - Accent 2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7" w:customStyle="1">
    <w:name w:val="Bordered - Accent 3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48" w:customStyle="1">
    <w:name w:val="Bordered - Accent 4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49" w:customStyle="1">
    <w:name w:val="Bordered - Accent 5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0" w:customStyle="1">
    <w:name w:val="Bordered - Accent 6"/>
    <w:basedOn w:val="702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1">
    <w:name w:val="footnote text"/>
    <w:basedOn w:val="691"/>
    <w:link w:val="852"/>
    <w:uiPriority w:val="99"/>
    <w:semiHidden/>
    <w:unhideWhenUsed/>
    <w:pPr>
      <w:spacing w:after="40"/>
    </w:pPr>
    <w:rPr>
      <w:sz w:val="18"/>
    </w:rPr>
  </w:style>
  <w:style w:type="character" w:styleId="852" w:customStyle="1">
    <w:name w:val="Текст сноски Знак"/>
    <w:link w:val="851"/>
    <w:uiPriority w:val="99"/>
    <w:rPr>
      <w:sz w:val="18"/>
    </w:rPr>
  </w:style>
  <w:style w:type="character" w:styleId="853">
    <w:name w:val="footnote reference"/>
    <w:basedOn w:val="701"/>
    <w:uiPriority w:val="99"/>
    <w:unhideWhenUsed/>
    <w:rPr>
      <w:vertAlign w:val="superscript"/>
    </w:rPr>
  </w:style>
  <w:style w:type="paragraph" w:styleId="854">
    <w:name w:val="endnote text"/>
    <w:basedOn w:val="691"/>
    <w:link w:val="855"/>
    <w:uiPriority w:val="99"/>
    <w:semiHidden/>
    <w:unhideWhenUsed/>
  </w:style>
  <w:style w:type="character" w:styleId="855" w:customStyle="1">
    <w:name w:val="Текст концевой сноски Знак"/>
    <w:link w:val="854"/>
    <w:uiPriority w:val="99"/>
    <w:rPr>
      <w:sz w:val="20"/>
    </w:rPr>
  </w:style>
  <w:style w:type="character" w:styleId="856">
    <w:name w:val="endnote reference"/>
    <w:basedOn w:val="701"/>
    <w:uiPriority w:val="99"/>
    <w:semiHidden/>
    <w:unhideWhenUsed/>
    <w:rPr>
      <w:vertAlign w:val="superscript"/>
    </w:rPr>
  </w:style>
  <w:style w:type="paragraph" w:styleId="857">
    <w:name w:val="toc 1"/>
    <w:basedOn w:val="691"/>
    <w:next w:val="691"/>
    <w:uiPriority w:val="39"/>
    <w:unhideWhenUsed/>
    <w:pPr>
      <w:spacing w:after="57"/>
    </w:pPr>
  </w:style>
  <w:style w:type="paragraph" w:styleId="858">
    <w:name w:val="toc 2"/>
    <w:basedOn w:val="691"/>
    <w:next w:val="691"/>
    <w:uiPriority w:val="39"/>
    <w:unhideWhenUsed/>
    <w:pPr>
      <w:ind w:left="283"/>
      <w:spacing w:after="57"/>
    </w:pPr>
  </w:style>
  <w:style w:type="paragraph" w:styleId="859">
    <w:name w:val="toc 3"/>
    <w:basedOn w:val="691"/>
    <w:next w:val="691"/>
    <w:uiPriority w:val="39"/>
    <w:unhideWhenUsed/>
    <w:pPr>
      <w:ind w:left="567"/>
      <w:spacing w:after="57"/>
    </w:pPr>
  </w:style>
  <w:style w:type="paragraph" w:styleId="860">
    <w:name w:val="toc 4"/>
    <w:basedOn w:val="691"/>
    <w:next w:val="691"/>
    <w:uiPriority w:val="39"/>
    <w:unhideWhenUsed/>
    <w:pPr>
      <w:ind w:left="850"/>
      <w:spacing w:after="57"/>
    </w:pPr>
  </w:style>
  <w:style w:type="paragraph" w:styleId="861">
    <w:name w:val="toc 5"/>
    <w:basedOn w:val="691"/>
    <w:next w:val="691"/>
    <w:uiPriority w:val="39"/>
    <w:unhideWhenUsed/>
    <w:pPr>
      <w:ind w:left="1134"/>
      <w:spacing w:after="57"/>
    </w:pPr>
  </w:style>
  <w:style w:type="paragraph" w:styleId="862">
    <w:name w:val="toc 6"/>
    <w:basedOn w:val="691"/>
    <w:next w:val="691"/>
    <w:uiPriority w:val="39"/>
    <w:unhideWhenUsed/>
    <w:pPr>
      <w:ind w:left="1417"/>
      <w:spacing w:after="57"/>
    </w:pPr>
  </w:style>
  <w:style w:type="paragraph" w:styleId="863">
    <w:name w:val="toc 7"/>
    <w:basedOn w:val="691"/>
    <w:next w:val="691"/>
    <w:uiPriority w:val="39"/>
    <w:unhideWhenUsed/>
    <w:pPr>
      <w:ind w:left="1701"/>
      <w:spacing w:after="57"/>
    </w:pPr>
  </w:style>
  <w:style w:type="paragraph" w:styleId="864">
    <w:name w:val="toc 8"/>
    <w:basedOn w:val="691"/>
    <w:next w:val="691"/>
    <w:uiPriority w:val="39"/>
    <w:unhideWhenUsed/>
    <w:pPr>
      <w:ind w:left="1984"/>
      <w:spacing w:after="57"/>
    </w:pPr>
  </w:style>
  <w:style w:type="paragraph" w:styleId="865">
    <w:name w:val="toc 9"/>
    <w:basedOn w:val="691"/>
    <w:next w:val="691"/>
    <w:uiPriority w:val="39"/>
    <w:unhideWhenUsed/>
    <w:pPr>
      <w:ind w:left="2268"/>
      <w:spacing w:after="57"/>
    </w:pPr>
  </w:style>
  <w:style w:type="paragraph" w:styleId="866">
    <w:name w:val="TOC Heading"/>
    <w:uiPriority w:val="39"/>
    <w:unhideWhenUsed/>
  </w:style>
  <w:style w:type="paragraph" w:styleId="867">
    <w:name w:val="table of figures"/>
    <w:basedOn w:val="691"/>
    <w:next w:val="691"/>
    <w:uiPriority w:val="99"/>
    <w:unhideWhenUsed/>
  </w:style>
  <w:style w:type="paragraph" w:styleId="868">
    <w:name w:val="Header"/>
    <w:basedOn w:val="691"/>
    <w:link w:val="86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9" w:customStyle="1">
    <w:name w:val="Верхний колонтитул Знак"/>
    <w:basedOn w:val="701"/>
    <w:link w:val="868"/>
    <w:uiPriority w:val="99"/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0" w:customStyle="1">
    <w:name w:val="Основной текст 21"/>
    <w:basedOn w:val="691"/>
    <w:rPr>
      <w:rFonts w:ascii="Times New Roman" w:hAnsi="Times New Roman"/>
      <w:b w:val="0"/>
      <w:sz w:val="28"/>
    </w:rPr>
  </w:style>
  <w:style w:type="paragraph" w:styleId="871" w:customStyle="1">
    <w:name w:val="Основной текст 22"/>
    <w:basedOn w:val="691"/>
    <w:rPr>
      <w:rFonts w:ascii="Times New Roman" w:hAnsi="Times New Roman"/>
      <w:b w:val="0"/>
      <w:sz w:val="28"/>
    </w:rPr>
  </w:style>
  <w:style w:type="paragraph" w:styleId="872" w:customStyle="1">
    <w:name w:val="s_16"/>
    <w:basedOn w:val="69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3" w:customStyle="1">
    <w:name w:val="empty"/>
    <w:basedOn w:val="691"/>
    <w:pPr>
      <w:spacing w:before="100" w:beforeAutospacing="1" w:after="100" w:afterAutospacing="1"/>
    </w:pPr>
    <w:rPr>
      <w:rFonts w:ascii="Times New Roman" w:hAnsi="Times New Roman"/>
      <w:b w:val="0"/>
      <w:sz w:val="24"/>
      <w:szCs w:val="24"/>
    </w:rPr>
  </w:style>
  <w:style w:type="paragraph" w:styleId="874">
    <w:name w:val="No Spacing"/>
    <w:uiPriority w:val="1"/>
    <w:qFormat/>
    <w:pPr>
      <w:spacing w:after="0" w:line="240" w:lineRule="auto"/>
    </w:pPr>
    <w:rPr>
      <w:rFonts w:ascii="Pragmatica" w:hAnsi="Pragmatica" w:eastAsia="Times New Roman" w:cs="Times New Roman"/>
      <w:b/>
      <w:sz w:val="20"/>
      <w:szCs w:val="20"/>
      <w:lang w:eastAsia="ru-RU"/>
    </w:rPr>
  </w:style>
  <w:style w:type="paragraph" w:styleId="875">
    <w:name w:val="Body Text 2"/>
    <w:basedOn w:val="691"/>
    <w:link w:val="876"/>
    <w:pPr>
      <w:jc w:val="both"/>
    </w:pPr>
    <w:rPr>
      <w:rFonts w:ascii="Times New Roman" w:hAnsi="Times New Roman"/>
      <w:b w:val="0"/>
      <w:sz w:val="28"/>
      <w:szCs w:val="28"/>
    </w:rPr>
  </w:style>
  <w:style w:type="character" w:styleId="876" w:customStyle="1">
    <w:name w:val="Основной текст 2 Знак"/>
    <w:basedOn w:val="701"/>
    <w:link w:val="875"/>
    <w:rPr>
      <w:rFonts w:ascii="Times New Roman" w:hAnsi="Times New Roman" w:eastAsia="Times New Roman" w:cs="Times New Roman"/>
      <w:sz w:val="28"/>
      <w:szCs w:val="28"/>
      <w:lang w:eastAsia="ru-RU"/>
    </w:rPr>
  </w:style>
  <w:style w:type="table" w:styleId="877">
    <w:name w:val="Table Grid"/>
    <w:basedOn w:val="70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878">
    <w:name w:val="List Paragraph"/>
    <w:basedOn w:val="691"/>
    <w:uiPriority w:val="34"/>
    <w:qFormat/>
    <w:pPr>
      <w:contextualSpacing/>
      <w:ind w:left="720"/>
    </w:pPr>
  </w:style>
  <w:style w:type="paragraph" w:styleId="879" w:customStyle="1">
    <w:name w:val="ConsPlusNormal"/>
    <w:pPr>
      <w:ind w:firstLine="720"/>
      <w:spacing w:after="0" w:line="240" w:lineRule="auto"/>
    </w:pPr>
    <w:rPr>
      <w:rFonts w:ascii="Arial" w:hAnsi="Arial" w:eastAsia="Times New Roman" w:cs="Arial"/>
      <w:sz w:val="24"/>
      <w:szCs w:val="24"/>
      <w:lang w:eastAsia="ru-RU"/>
    </w:rPr>
  </w:style>
  <w:style w:type="paragraph" w:styleId="880">
    <w:name w:val="Body Text Indent"/>
    <w:basedOn w:val="691"/>
    <w:link w:val="881"/>
    <w:uiPriority w:val="99"/>
    <w:unhideWhenUsed/>
    <w:pPr>
      <w:ind w:left="283"/>
      <w:spacing w:after="120" w:line="276" w:lineRule="auto"/>
    </w:pPr>
    <w:rPr>
      <w:rFonts w:asciiTheme="minorHAnsi" w:hAnsiTheme="minorHAnsi" w:eastAsiaTheme="minorEastAsia" w:cstheme="minorBidi"/>
      <w:b w:val="0"/>
      <w:sz w:val="22"/>
      <w:szCs w:val="22"/>
    </w:rPr>
  </w:style>
  <w:style w:type="character" w:styleId="881" w:customStyle="1">
    <w:name w:val="Основной текст с отступом Знак"/>
    <w:basedOn w:val="701"/>
    <w:link w:val="880"/>
    <w:uiPriority w:val="99"/>
    <w:rPr>
      <w:rFonts w:eastAsiaTheme="minorEastAsia"/>
      <w:lang w:eastAsia="ru-RU"/>
    </w:rPr>
  </w:style>
  <w:style w:type="paragraph" w:styleId="882">
    <w:name w:val="Balloon Text"/>
    <w:basedOn w:val="691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701"/>
    <w:link w:val="882"/>
    <w:uiPriority w:val="99"/>
    <w:semiHidden/>
    <w:rPr>
      <w:rFonts w:ascii="Segoe UI" w:hAnsi="Segoe UI" w:eastAsia="Times New Roman" w:cs="Segoe UI"/>
      <w:b/>
      <w:sz w:val="18"/>
      <w:szCs w:val="18"/>
      <w:lang w:eastAsia="ru-RU"/>
    </w:rPr>
  </w:style>
  <w:style w:type="character" w:styleId="884" w:customStyle="1">
    <w:name w:val="Font Style18"/>
    <w:rPr>
      <w:rFonts w:ascii="Times New Roman" w:hAnsi="Times New Roman" w:cs="Times New Roman"/>
      <w:sz w:val="24"/>
      <w:szCs w:val="24"/>
    </w:rPr>
  </w:style>
  <w:style w:type="character" w:styleId="885">
    <w:name w:val="Emphasis"/>
    <w:uiPriority w:val="20"/>
    <w:qFormat/>
    <w:rPr>
      <w:i/>
      <w:iCs/>
    </w:rPr>
  </w:style>
  <w:style w:type="character" w:styleId="886">
    <w:name w:val="Hyperlink"/>
    <w:uiPriority w:val="99"/>
    <w:rPr>
      <w:color w:val="0000ff"/>
      <w:u w:val="single"/>
    </w:rPr>
  </w:style>
  <w:style w:type="paragraph" w:styleId="887" w:customStyle="1">
    <w:name w:val="Основной текст1"/>
    <w:link w:val="784"/>
    <w:pPr>
      <w:ind w:firstLine="400"/>
      <w:spacing w:after="0" w:line="257" w:lineRule="auto"/>
      <w:shd w:val="clear" w:color="auto" w:fill="ffffff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2" Type="http://schemas.openxmlformats.org/officeDocument/2006/relationships/hyperlink" Target="consultantplus://offline/ref=C543BE1B007CC89C259EE392F8F88D3CE9F14FA8835A57DC5088206EC16EC6633DBF3FB9ADD166T4SAI" TargetMode="External"/><Relationship Id="rId13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14" Type="http://schemas.openxmlformats.org/officeDocument/2006/relationships/hyperlink" Target="consultantplus://offline/ref=B84B9ED2EF5D2DEDF34A09FD8270FDC89124322787B2E86C276986E0485C58100786FC5B4D3925258F643E12C5y0LDJ" TargetMode="External"/><Relationship Id="rId15" Type="http://schemas.openxmlformats.org/officeDocument/2006/relationships/hyperlink" Target="consultantplus://offline/ref=B84B9ED2EF5D2DEDF34A09FD8270FDC89124322787B2E86C276986E0485C58100786FC5B4D3925258F643E12C5y0LDJ" TargetMode="External"/><Relationship Id="rId16" Type="http://schemas.openxmlformats.org/officeDocument/2006/relationships/hyperlink" Target="consultantplus://offline/ref=0F1679D46B83A605591E2CF0383FF75F59FD4280BB3845604936256DA5R6b8I" TargetMode="External"/><Relationship Id="rId17" Type="http://schemas.openxmlformats.org/officeDocument/2006/relationships/hyperlink" Target="consultantplus://offline/ref=0F1679D46B83A605591E2CF0383FF75F59FD4280BB3845604936256DA5R6b8I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0C138-4B5C-4BED-ABBB-63F36F3C5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Р7-Офис/2025.1.1.763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Kadry2</dc:creator>
  <cp:keywords/>
  <dc:description/>
  <cp:lastModifiedBy>kadry9</cp:lastModifiedBy>
  <cp:revision>34</cp:revision>
  <dcterms:created xsi:type="dcterms:W3CDTF">2024-10-25T04:53:00Z</dcterms:created>
  <dcterms:modified xsi:type="dcterms:W3CDTF">2025-08-07T04:14:09Z</dcterms:modified>
</cp:coreProperties>
</file>