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33DAC" w14:textId="77777777" w:rsidR="00853DAA" w:rsidRPr="007A4DA8" w:rsidRDefault="00520D15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П</w:t>
      </w:r>
      <w:r w:rsidR="00853DAA" w:rsidRPr="007A4DA8">
        <w:rPr>
          <w:sz w:val="28"/>
          <w:szCs w:val="28"/>
        </w:rPr>
        <w:t>ояснительн</w:t>
      </w:r>
      <w:r w:rsidRPr="007A4DA8">
        <w:rPr>
          <w:sz w:val="28"/>
          <w:szCs w:val="28"/>
        </w:rPr>
        <w:t>ая</w:t>
      </w:r>
      <w:r w:rsidR="00853DAA" w:rsidRPr="007A4DA8">
        <w:rPr>
          <w:sz w:val="28"/>
          <w:szCs w:val="28"/>
        </w:rPr>
        <w:t xml:space="preserve"> записк</w:t>
      </w:r>
      <w:r w:rsidRPr="007A4DA8">
        <w:rPr>
          <w:sz w:val="28"/>
          <w:szCs w:val="28"/>
        </w:rPr>
        <w:t>а</w:t>
      </w:r>
    </w:p>
    <w:p w14:paraId="6EBF27DC" w14:textId="77777777" w:rsidR="00CC4C21" w:rsidRDefault="00853DAA" w:rsidP="00CC4C21">
      <w:pPr>
        <w:jc w:val="center"/>
        <w:rPr>
          <w:sz w:val="28"/>
          <w:szCs w:val="26"/>
        </w:rPr>
      </w:pPr>
      <w:r w:rsidRPr="007A4DA8">
        <w:rPr>
          <w:sz w:val="28"/>
          <w:szCs w:val="28"/>
        </w:rPr>
        <w:t>к проекту нормативного правового акта</w:t>
      </w:r>
      <w:r w:rsidR="00CC4C21">
        <w:rPr>
          <w:sz w:val="28"/>
          <w:szCs w:val="28"/>
        </w:rPr>
        <w:t xml:space="preserve"> </w:t>
      </w:r>
      <w:r w:rsidR="0044147F">
        <w:rPr>
          <w:sz w:val="28"/>
        </w:rPr>
        <w:t>о</w:t>
      </w:r>
      <w:r w:rsidR="0044147F" w:rsidRPr="0044147F">
        <w:rPr>
          <w:sz w:val="28"/>
        </w:rPr>
        <w:t xml:space="preserve"> внесении изменений в постановление администрации города Нефтеюганска</w:t>
      </w:r>
      <w:r w:rsidR="00CC4C21">
        <w:rPr>
          <w:sz w:val="28"/>
        </w:rPr>
        <w:t xml:space="preserve"> </w:t>
      </w:r>
      <w:r w:rsidR="00CC4C21" w:rsidRPr="00CC4C21">
        <w:rPr>
          <w:sz w:val="28"/>
          <w:szCs w:val="26"/>
        </w:rPr>
        <w:t>от 17.09.2020 № 142-нп «Об утверждении порядка предоставления субсидии из бюджета города Нефтеюганска на финансовое обеспечение затрат АО «Югансктранстеплосервис»,</w:t>
      </w:r>
    </w:p>
    <w:p w14:paraId="225E53CA" w14:textId="2C73BA4F" w:rsidR="00CC4C21" w:rsidRDefault="00CC4C21" w:rsidP="00CC4C21">
      <w:pPr>
        <w:jc w:val="center"/>
        <w:rPr>
          <w:sz w:val="28"/>
          <w:szCs w:val="26"/>
        </w:rPr>
      </w:pPr>
      <w:r w:rsidRPr="00CC4C21">
        <w:rPr>
          <w:sz w:val="28"/>
          <w:szCs w:val="26"/>
        </w:rPr>
        <w:t>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ресурсы»</w:t>
      </w:r>
    </w:p>
    <w:p w14:paraId="7B2A6C4C" w14:textId="77777777" w:rsidR="00CC4C21" w:rsidRDefault="00CC4C21" w:rsidP="00CC4C21">
      <w:pPr>
        <w:jc w:val="center"/>
        <w:rPr>
          <w:sz w:val="28"/>
          <w:szCs w:val="26"/>
        </w:rPr>
      </w:pPr>
    </w:p>
    <w:p w14:paraId="3C10EC0D" w14:textId="64ED23C1" w:rsidR="00162295" w:rsidRPr="00C4166A" w:rsidRDefault="003F400A" w:rsidP="00162295">
      <w:pPr>
        <w:autoSpaceDE w:val="0"/>
        <w:autoSpaceDN w:val="0"/>
        <w:ind w:firstLine="708"/>
        <w:jc w:val="both"/>
        <w:rPr>
          <w:sz w:val="28"/>
        </w:rPr>
      </w:pPr>
      <w:r w:rsidRPr="007A4DA8">
        <w:rPr>
          <w:sz w:val="28"/>
          <w:szCs w:val="28"/>
        </w:rPr>
        <w:t>1.</w:t>
      </w:r>
      <w:r w:rsidR="00853DAA" w:rsidRPr="007A4DA8">
        <w:rPr>
          <w:sz w:val="28"/>
          <w:szCs w:val="28"/>
        </w:rPr>
        <w:t xml:space="preserve">Настоящий проект разработан в соответствии </w:t>
      </w:r>
      <w:r w:rsidR="0044147F" w:rsidRPr="0044147F">
        <w:rPr>
          <w:sz w:val="28"/>
        </w:rPr>
        <w:t xml:space="preserve">с постановлением Правительства Российской Федерации </w:t>
      </w:r>
      <w:r w:rsidR="00CC4C21" w:rsidRPr="00CC4C21">
        <w:rPr>
          <w:sz w:val="28"/>
        </w:rPr>
        <w:t>от 25.10.2023 № 1782 «</w:t>
      </w:r>
      <w:r w:rsidR="00CC4C21" w:rsidRPr="00CC4C21">
        <w:rPr>
          <w:rFonts w:eastAsia="Calibri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CC4C21" w:rsidRPr="00CC4C21">
        <w:rPr>
          <w:sz w:val="28"/>
          <w:szCs w:val="28"/>
        </w:rPr>
        <w:t>,</w:t>
      </w:r>
      <w:r w:rsidR="00CC4C21" w:rsidRPr="00CC4C21">
        <w:rPr>
          <w:sz w:val="28"/>
        </w:rPr>
        <w:t xml:space="preserve"> решением Думы города Нефтеюганска от 23.12.2024 № 700-VII «О бюджете города Нефтеюганска на 2025 год и плановый период 2026 и 2027 годов»</w:t>
      </w:r>
      <w:r w:rsidR="00CC4C21" w:rsidRPr="00CC4C21">
        <w:rPr>
          <w:sz w:val="28"/>
          <w:szCs w:val="28"/>
        </w:rPr>
        <w:t xml:space="preserve">, Уставом города Нефтеюганска, </w:t>
      </w:r>
      <w:r w:rsidR="00CC4C21" w:rsidRPr="00CC4C21">
        <w:rPr>
          <w:rFonts w:eastAsia="Calibri"/>
          <w:sz w:val="28"/>
          <w:szCs w:val="28"/>
          <w:lang w:eastAsia="en-US"/>
        </w:rPr>
        <w:t>в целях приведения муниципального правового акта в соответствие с законодательством Российской Федерации</w:t>
      </w:r>
      <w:r w:rsidR="00162295" w:rsidRPr="007A4DA8">
        <w:rPr>
          <w:bCs/>
          <w:sz w:val="28"/>
        </w:rPr>
        <w:t>.</w:t>
      </w:r>
    </w:p>
    <w:p w14:paraId="703C70E2" w14:textId="77777777" w:rsidR="00162295" w:rsidRPr="007A4DA8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>2. 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14:paraId="59C376DA" w14:textId="248C7AED" w:rsidR="005E7531" w:rsidRDefault="002C0B91" w:rsidP="00D366EA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color w:val="000000"/>
          <w:sz w:val="28"/>
          <w:szCs w:val="20"/>
        </w:rPr>
        <w:t>-</w:t>
      </w:r>
      <w:r w:rsidR="00E263E1">
        <w:rPr>
          <w:color w:val="000000"/>
          <w:sz w:val="28"/>
          <w:szCs w:val="20"/>
        </w:rPr>
        <w:t>субсидия предоставляется</w:t>
      </w:r>
      <w:r w:rsidR="005E7531" w:rsidRPr="005E7531">
        <w:rPr>
          <w:rFonts w:eastAsiaTheme="minorEastAsia"/>
          <w:sz w:val="28"/>
          <w:szCs w:val="28"/>
        </w:rPr>
        <w:t xml:space="preserve"> </w:t>
      </w:r>
      <w:r w:rsidR="005E7531" w:rsidRPr="00FA6AAC">
        <w:rPr>
          <w:rFonts w:eastAsiaTheme="minorEastAsia"/>
          <w:sz w:val="28"/>
          <w:szCs w:val="28"/>
        </w:rPr>
        <w:t xml:space="preserve">на </w:t>
      </w:r>
      <w:r w:rsidR="00D366EA" w:rsidRPr="00D366EA">
        <w:rPr>
          <w:rFonts w:eastAsiaTheme="minorEastAsia"/>
          <w:sz w:val="28"/>
          <w:szCs w:val="28"/>
        </w:rPr>
        <w:t xml:space="preserve">финансовое обеспечение затрат </w:t>
      </w:r>
      <w:r w:rsidR="00D366EA">
        <w:rPr>
          <w:rFonts w:eastAsiaTheme="minorEastAsia"/>
          <w:sz w:val="28"/>
          <w:szCs w:val="28"/>
        </w:rPr>
        <w:t xml:space="preserve">                                  </w:t>
      </w:r>
      <w:r w:rsidR="00D366EA" w:rsidRPr="00D366EA">
        <w:rPr>
          <w:rFonts w:eastAsiaTheme="minorEastAsia"/>
          <w:sz w:val="28"/>
          <w:szCs w:val="28"/>
        </w:rPr>
        <w:t>АО «Югансктранстеплосервис»,</w:t>
      </w:r>
      <w:r w:rsidR="00D366EA">
        <w:rPr>
          <w:rFonts w:eastAsiaTheme="minorEastAsia"/>
          <w:sz w:val="28"/>
          <w:szCs w:val="28"/>
        </w:rPr>
        <w:t xml:space="preserve"> </w:t>
      </w:r>
      <w:r w:rsidR="00D366EA" w:rsidRPr="00D366EA">
        <w:rPr>
          <w:rFonts w:eastAsiaTheme="minorEastAsia"/>
          <w:sz w:val="28"/>
          <w:szCs w:val="28"/>
        </w:rPr>
        <w:t>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="00D366EA">
        <w:rPr>
          <w:rFonts w:eastAsiaTheme="minorEastAsia"/>
          <w:sz w:val="28"/>
          <w:szCs w:val="28"/>
        </w:rPr>
        <w:t>.</w:t>
      </w:r>
    </w:p>
    <w:p w14:paraId="5CF5040F" w14:textId="77777777" w:rsidR="00D366EA" w:rsidRDefault="00D366E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D366EA">
        <w:rPr>
          <w:sz w:val="28"/>
          <w:szCs w:val="28"/>
        </w:rPr>
        <w:t>Целью предоставления субсидии является снижение просроченной кредиторской задолженности за потребленные топливно-энергетические ресурсы (электрическая энергия, газ).</w:t>
      </w:r>
    </w:p>
    <w:p w14:paraId="0E8F2615" w14:textId="415109E2" w:rsidR="00520D15" w:rsidRPr="007A4DA8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 xml:space="preserve">3. Описание субъектов предпринимательской и инвестиционной деятельности, интересы которых будут затронуты предлагаемым проектом нормативного правового акта правовым регулированием </w:t>
      </w:r>
      <w:r w:rsidRPr="007A4DA8">
        <w:rPr>
          <w:sz w:val="28"/>
          <w:szCs w:val="28"/>
        </w:rPr>
        <w:br/>
        <w:t>(их количественная оценка):</w:t>
      </w:r>
    </w:p>
    <w:p w14:paraId="03CD1CDE" w14:textId="77777777" w:rsidR="00D366EA" w:rsidRDefault="003F400A" w:rsidP="00E263E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</w:t>
      </w:r>
      <w:r w:rsidR="002C0B91">
        <w:rPr>
          <w:rFonts w:ascii="Times New Roman" w:hAnsi="Times New Roman" w:cs="Times New Roman"/>
          <w:sz w:val="28"/>
        </w:rPr>
        <w:t>п</w:t>
      </w:r>
      <w:r w:rsidR="002C0B91" w:rsidRPr="002C0B91">
        <w:rPr>
          <w:rFonts w:ascii="Times New Roman" w:hAnsi="Times New Roman" w:cs="Times New Roman"/>
          <w:sz w:val="28"/>
        </w:rPr>
        <w:t>олучател</w:t>
      </w:r>
      <w:r w:rsidR="00D366EA">
        <w:rPr>
          <w:rFonts w:ascii="Times New Roman" w:hAnsi="Times New Roman" w:cs="Times New Roman"/>
          <w:sz w:val="28"/>
        </w:rPr>
        <w:t>ями</w:t>
      </w:r>
      <w:r w:rsidR="002C0B91" w:rsidRPr="002C0B91">
        <w:rPr>
          <w:rFonts w:ascii="Times New Roman" w:hAnsi="Times New Roman" w:cs="Times New Roman"/>
          <w:sz w:val="28"/>
        </w:rPr>
        <w:t xml:space="preserve"> субсидии явля</w:t>
      </w:r>
      <w:r w:rsidR="00D366EA">
        <w:rPr>
          <w:rFonts w:ascii="Times New Roman" w:hAnsi="Times New Roman" w:cs="Times New Roman"/>
          <w:sz w:val="28"/>
        </w:rPr>
        <w:t>ю</w:t>
      </w:r>
      <w:r w:rsidR="002C0B91" w:rsidRPr="002C0B91">
        <w:rPr>
          <w:rFonts w:ascii="Times New Roman" w:hAnsi="Times New Roman" w:cs="Times New Roman"/>
          <w:sz w:val="28"/>
        </w:rPr>
        <w:t xml:space="preserve">тся </w:t>
      </w:r>
      <w:r w:rsidR="00D366EA">
        <w:rPr>
          <w:rFonts w:ascii="Times New Roman" w:hAnsi="Times New Roman" w:cs="Times New Roman"/>
          <w:sz w:val="28"/>
        </w:rPr>
        <w:t>ресурсоснабжающие организации:</w:t>
      </w:r>
    </w:p>
    <w:p w14:paraId="24B4B771" w14:textId="6ED9246C" w:rsidR="002C0B91" w:rsidRDefault="00D366EA" w:rsidP="00E263E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D366EA">
        <w:rPr>
          <w:rFonts w:ascii="Times New Roman" w:hAnsi="Times New Roman" w:cs="Times New Roman"/>
          <w:sz w:val="28"/>
        </w:rPr>
        <w:t xml:space="preserve">АО </w:t>
      </w:r>
      <w:r>
        <w:rPr>
          <w:rFonts w:ascii="Times New Roman" w:hAnsi="Times New Roman" w:cs="Times New Roman"/>
          <w:sz w:val="28"/>
        </w:rPr>
        <w:t>«</w:t>
      </w:r>
      <w:r w:rsidRPr="00D366EA">
        <w:rPr>
          <w:rFonts w:ascii="Times New Roman" w:hAnsi="Times New Roman" w:cs="Times New Roman"/>
          <w:sz w:val="28"/>
        </w:rPr>
        <w:t>Югансктранстеплосервис</w:t>
      </w:r>
      <w:r>
        <w:rPr>
          <w:rFonts w:ascii="Times New Roman" w:hAnsi="Times New Roman" w:cs="Times New Roman"/>
          <w:sz w:val="28"/>
        </w:rPr>
        <w:t>»</w:t>
      </w:r>
      <w:r w:rsidRPr="00D366EA">
        <w:rPr>
          <w:rFonts w:ascii="Times New Roman" w:hAnsi="Times New Roman" w:cs="Times New Roman"/>
          <w:sz w:val="28"/>
        </w:rPr>
        <w:t xml:space="preserve">, которое наделено статусом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 в соответствии с постановлением администрации города </w:t>
      </w:r>
      <w:r w:rsidRPr="00D366EA">
        <w:rPr>
          <w:rFonts w:ascii="Times New Roman" w:hAnsi="Times New Roman" w:cs="Times New Roman"/>
          <w:sz w:val="28"/>
        </w:rPr>
        <w:lastRenderedPageBreak/>
        <w:t xml:space="preserve">Нефтеюганска от 15.09.2017 </w:t>
      </w:r>
      <w:r>
        <w:rPr>
          <w:rFonts w:ascii="Times New Roman" w:hAnsi="Times New Roman" w:cs="Times New Roman"/>
          <w:sz w:val="28"/>
        </w:rPr>
        <w:t>№</w:t>
      </w:r>
      <w:r w:rsidRPr="00D366EA">
        <w:rPr>
          <w:rFonts w:ascii="Times New Roman" w:hAnsi="Times New Roman" w:cs="Times New Roman"/>
          <w:sz w:val="28"/>
        </w:rPr>
        <w:t xml:space="preserve"> 569-п </w:t>
      </w:r>
      <w:r>
        <w:rPr>
          <w:rFonts w:ascii="Times New Roman" w:hAnsi="Times New Roman" w:cs="Times New Roman"/>
          <w:sz w:val="28"/>
        </w:rPr>
        <w:t>«</w:t>
      </w:r>
      <w:r w:rsidRPr="00D366EA">
        <w:rPr>
          <w:rFonts w:ascii="Times New Roman" w:hAnsi="Times New Roman" w:cs="Times New Roman"/>
          <w:sz w:val="28"/>
        </w:rPr>
        <w:t>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</w:t>
      </w:r>
      <w:r>
        <w:rPr>
          <w:rFonts w:ascii="Times New Roman" w:hAnsi="Times New Roman" w:cs="Times New Roman"/>
          <w:sz w:val="28"/>
        </w:rPr>
        <w:t>»;</w:t>
      </w:r>
    </w:p>
    <w:p w14:paraId="50A526DB" w14:textId="78C1E37A" w:rsidR="00D366EA" w:rsidRDefault="00D366EA" w:rsidP="00E263E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D366EA">
        <w:rPr>
          <w:rFonts w:ascii="Times New Roman" w:hAnsi="Times New Roman" w:cs="Times New Roman"/>
          <w:sz w:val="28"/>
        </w:rPr>
        <w:t xml:space="preserve">АО </w:t>
      </w:r>
      <w:r>
        <w:rPr>
          <w:rFonts w:ascii="Times New Roman" w:hAnsi="Times New Roman" w:cs="Times New Roman"/>
          <w:sz w:val="28"/>
        </w:rPr>
        <w:t>«</w:t>
      </w:r>
      <w:r w:rsidRPr="00D366EA">
        <w:rPr>
          <w:rFonts w:ascii="Times New Roman" w:hAnsi="Times New Roman" w:cs="Times New Roman"/>
          <w:sz w:val="28"/>
        </w:rPr>
        <w:t>Юганскводоканал</w:t>
      </w:r>
      <w:r>
        <w:rPr>
          <w:rFonts w:ascii="Times New Roman" w:hAnsi="Times New Roman" w:cs="Times New Roman"/>
          <w:sz w:val="28"/>
        </w:rPr>
        <w:t>»</w:t>
      </w:r>
      <w:r w:rsidRPr="00D366EA">
        <w:rPr>
          <w:rFonts w:ascii="Times New Roman" w:hAnsi="Times New Roman" w:cs="Times New Roman"/>
          <w:sz w:val="28"/>
        </w:rPr>
        <w:t xml:space="preserve">,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</w:t>
      </w:r>
      <w:r>
        <w:rPr>
          <w:rFonts w:ascii="Times New Roman" w:hAnsi="Times New Roman" w:cs="Times New Roman"/>
          <w:sz w:val="28"/>
        </w:rPr>
        <w:t>№</w:t>
      </w:r>
      <w:r w:rsidRPr="00D366EA">
        <w:rPr>
          <w:rFonts w:ascii="Times New Roman" w:hAnsi="Times New Roman" w:cs="Times New Roman"/>
          <w:sz w:val="28"/>
        </w:rPr>
        <w:t xml:space="preserve"> 638-п </w:t>
      </w:r>
      <w:r>
        <w:rPr>
          <w:rFonts w:ascii="Times New Roman" w:hAnsi="Times New Roman" w:cs="Times New Roman"/>
          <w:sz w:val="28"/>
        </w:rPr>
        <w:t>«</w:t>
      </w:r>
      <w:r w:rsidRPr="00D366EA">
        <w:rPr>
          <w:rFonts w:ascii="Times New Roman" w:hAnsi="Times New Roman" w:cs="Times New Roman"/>
          <w:sz w:val="28"/>
        </w:rPr>
        <w:t>Об определении гарантирующей организации в сфере водоснабжения и водоотведения на территории города Нефтеюганска</w:t>
      </w:r>
      <w:r>
        <w:rPr>
          <w:rFonts w:ascii="Times New Roman" w:hAnsi="Times New Roman" w:cs="Times New Roman"/>
          <w:sz w:val="28"/>
        </w:rPr>
        <w:t>».</w:t>
      </w:r>
    </w:p>
    <w:p w14:paraId="43EE2C4A" w14:textId="77777777" w:rsidR="00853DAA" w:rsidRPr="002C0B91" w:rsidRDefault="00853DAA" w:rsidP="002C0B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B91">
        <w:rPr>
          <w:rFonts w:ascii="Times New Roman" w:hAnsi="Times New Roman" w:cs="Times New Roman"/>
          <w:sz w:val="28"/>
          <w:szCs w:val="28"/>
        </w:rPr>
        <w:t>4. </w:t>
      </w:r>
      <w:r w:rsidRPr="002C0B91">
        <w:rPr>
          <w:rFonts w:ascii="Times New Roman" w:hAnsi="Times New Roman" w:cs="Times New Roman"/>
          <w:bCs/>
          <w:sz w:val="28"/>
          <w:szCs w:val="28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государственной власти, органы местного самоуправления, интересы которых затрагиваются регулированием, установленным нормативным правовым актом, </w:t>
      </w:r>
      <w:r w:rsidRPr="002C0B91">
        <w:rPr>
          <w:rFonts w:ascii="Times New Roman" w:hAnsi="Times New Roman" w:cs="Times New Roman"/>
          <w:sz w:val="28"/>
          <w:szCs w:val="28"/>
        </w:rPr>
        <w:t>и их количественная оценка:</w:t>
      </w:r>
    </w:p>
    <w:p w14:paraId="2325DC3D" w14:textId="439C6F68" w:rsidR="002C0B91" w:rsidRDefault="00162295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</w:t>
      </w:r>
      <w:r w:rsidR="003E6085">
        <w:rPr>
          <w:rFonts w:ascii="Times New Roman" w:hAnsi="Times New Roman" w:cs="Times New Roman"/>
          <w:sz w:val="28"/>
        </w:rPr>
        <w:t xml:space="preserve">юридические лица, </w:t>
      </w:r>
      <w:r w:rsidR="00BE5D94">
        <w:rPr>
          <w:rFonts w:ascii="Times New Roman" w:hAnsi="Times New Roman" w:cs="Times New Roman"/>
          <w:sz w:val="28"/>
        </w:rPr>
        <w:t>ресурсоснабжающие организации,</w:t>
      </w:r>
      <w:r w:rsidR="003E6085" w:rsidRPr="003E6085">
        <w:rPr>
          <w:rFonts w:ascii="Times New Roman" w:hAnsi="Times New Roman" w:cs="Times New Roman"/>
          <w:sz w:val="28"/>
        </w:rPr>
        <w:t xml:space="preserve"> </w:t>
      </w:r>
      <w:r w:rsidR="003E6085" w:rsidRPr="00D366EA">
        <w:rPr>
          <w:rFonts w:ascii="Times New Roman" w:hAnsi="Times New Roman" w:cs="Times New Roman"/>
          <w:sz w:val="28"/>
        </w:rPr>
        <w:t>котор</w:t>
      </w:r>
      <w:r w:rsidR="003E6085">
        <w:rPr>
          <w:rFonts w:ascii="Times New Roman" w:hAnsi="Times New Roman" w:cs="Times New Roman"/>
          <w:sz w:val="28"/>
        </w:rPr>
        <w:t>ые</w:t>
      </w:r>
      <w:r w:rsidR="003E6085" w:rsidRPr="00D366EA">
        <w:rPr>
          <w:rFonts w:ascii="Times New Roman" w:hAnsi="Times New Roman" w:cs="Times New Roman"/>
          <w:sz w:val="28"/>
        </w:rPr>
        <w:t xml:space="preserve"> наделен</w:t>
      </w:r>
      <w:r w:rsidR="003E6085">
        <w:rPr>
          <w:rFonts w:ascii="Times New Roman" w:hAnsi="Times New Roman" w:cs="Times New Roman"/>
          <w:sz w:val="28"/>
        </w:rPr>
        <w:t>ы</w:t>
      </w:r>
      <w:r w:rsidR="003E6085" w:rsidRPr="00D366EA">
        <w:rPr>
          <w:rFonts w:ascii="Times New Roman" w:hAnsi="Times New Roman" w:cs="Times New Roman"/>
          <w:sz w:val="28"/>
        </w:rPr>
        <w:t xml:space="preserve"> статусом гарантирующей организации в сфере</w:t>
      </w:r>
      <w:r w:rsidR="003E6085" w:rsidRPr="003E6085">
        <w:t xml:space="preserve"> </w:t>
      </w:r>
      <w:r w:rsidR="003E6085" w:rsidRPr="003E6085">
        <w:rPr>
          <w:rFonts w:ascii="Times New Roman" w:hAnsi="Times New Roman" w:cs="Times New Roman"/>
          <w:sz w:val="28"/>
        </w:rPr>
        <w:t>теплоснабжения</w:t>
      </w:r>
      <w:r w:rsidR="003E6085">
        <w:rPr>
          <w:rFonts w:ascii="Times New Roman" w:hAnsi="Times New Roman" w:cs="Times New Roman"/>
          <w:sz w:val="28"/>
        </w:rPr>
        <w:t>,</w:t>
      </w:r>
      <w:r w:rsidR="003E6085" w:rsidRPr="00D366EA">
        <w:rPr>
          <w:rFonts w:ascii="Times New Roman" w:hAnsi="Times New Roman" w:cs="Times New Roman"/>
          <w:sz w:val="28"/>
        </w:rPr>
        <w:t xml:space="preserve"> водоснабжения и водоотведения</w:t>
      </w:r>
      <w:r w:rsidR="002C0B91">
        <w:rPr>
          <w:rFonts w:ascii="Times New Roman" w:hAnsi="Times New Roman" w:cs="Times New Roman"/>
          <w:sz w:val="28"/>
        </w:rPr>
        <w:t>;</w:t>
      </w:r>
    </w:p>
    <w:p w14:paraId="52D5CE49" w14:textId="066DAF21" w:rsidR="005A0DCC" w:rsidRDefault="005A0DCC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-департамент ЖКХ;</w:t>
      </w:r>
    </w:p>
    <w:p w14:paraId="7E7EE354" w14:textId="3960A72A" w:rsidR="00162295" w:rsidRPr="002C0B91" w:rsidRDefault="002C0B91" w:rsidP="00FC0DBF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>-ад</w:t>
      </w:r>
      <w:r w:rsidR="00FC0DBF">
        <w:rPr>
          <w:rFonts w:ascii="Times New Roman" w:hAnsi="Times New Roman" w:cs="Times New Roman"/>
          <w:sz w:val="28"/>
        </w:rPr>
        <w:t>министрация города Нефтеюганска.</w:t>
      </w:r>
    </w:p>
    <w:p w14:paraId="64E3FF2E" w14:textId="77777777" w:rsidR="00853DAA" w:rsidRDefault="00853DAA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5. Описание обязанностей, запретов и ограничений, которые предполагается возложить (ввести) на (для) субъекты (ов) предпринимательской и инвестиционной деятельности предлагаемым правовым регулированием, и (или) описание предполагаемых проектом нормативного правового акта изменений в содержании существующих обязанностей, запретов и ограничений указанных субъектов:</w:t>
      </w:r>
    </w:p>
    <w:p w14:paraId="0DBA7AE3" w14:textId="4B404D9E" w:rsidR="002A7AD2" w:rsidRDefault="002A7AD2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AD2">
        <w:rPr>
          <w:rFonts w:ascii="Times New Roman" w:hAnsi="Times New Roman" w:cs="Times New Roman"/>
          <w:sz w:val="28"/>
          <w:szCs w:val="28"/>
        </w:rPr>
        <w:t xml:space="preserve">Ранее предусмотренное требование пункта </w:t>
      </w:r>
      <w:r>
        <w:rPr>
          <w:rFonts w:ascii="Times New Roman" w:hAnsi="Times New Roman" w:cs="Times New Roman"/>
          <w:sz w:val="28"/>
          <w:szCs w:val="28"/>
        </w:rPr>
        <w:t>2.3 дополнены требованиями:</w:t>
      </w:r>
    </w:p>
    <w:p w14:paraId="5AC62A65" w14:textId="77777777" w:rsidR="002A7AD2" w:rsidRPr="002A7AD2" w:rsidRDefault="002A7AD2" w:rsidP="002A7A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AD2">
        <w:rPr>
          <w:rFonts w:ascii="Times New Roman" w:hAnsi="Times New Roman" w:cs="Times New Roman"/>
          <w:sz w:val="28"/>
          <w:szCs w:val="28"/>
        </w:rPr>
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0F8E5866" w14:textId="7F554EF0" w:rsidR="00BE5D94" w:rsidRDefault="002A7AD2" w:rsidP="002A7A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AD2">
        <w:rPr>
          <w:rFonts w:ascii="Times New Roman" w:hAnsi="Times New Roman" w:cs="Times New Roman"/>
          <w:sz w:val="28"/>
          <w:szCs w:val="28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F2D9C8F" w14:textId="38E43159" w:rsidR="00BE5D94" w:rsidRPr="007A4DA8" w:rsidRDefault="005A0DCC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7AD2" w:rsidRPr="002A7AD2">
        <w:rPr>
          <w:rFonts w:ascii="Times New Roman" w:hAnsi="Times New Roman" w:cs="Times New Roman"/>
          <w:sz w:val="28"/>
          <w:szCs w:val="28"/>
        </w:rPr>
        <w:t>не должен являться иностранным агентом в соответствии с Федеральным законом «О контроле за деятельностью лиц, находящихся под иностранным влиянием»</w:t>
      </w:r>
      <w:r w:rsidR="002A7AD2">
        <w:rPr>
          <w:rFonts w:ascii="Times New Roman" w:hAnsi="Times New Roman" w:cs="Times New Roman"/>
          <w:sz w:val="28"/>
          <w:szCs w:val="28"/>
        </w:rPr>
        <w:t>.</w:t>
      </w:r>
    </w:p>
    <w:p w14:paraId="2DF2CB6D" w14:textId="77777777" w:rsidR="00853DAA" w:rsidRPr="007A4DA8" w:rsidRDefault="00853DAA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6.</w:t>
      </w:r>
      <w:r w:rsidRPr="007A4DA8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7A4DA8">
        <w:rPr>
          <w:rFonts w:ascii="Times New Roman" w:hAnsi="Times New Roman" w:cs="Times New Roman"/>
          <w:sz w:val="28"/>
          <w:szCs w:val="28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нормативного правового акта правовым регулированием:</w:t>
      </w:r>
    </w:p>
    <w:p w14:paraId="5672E2BF" w14:textId="7827DC39" w:rsidR="00853DAA" w:rsidRPr="007A4DA8" w:rsidRDefault="003F400A" w:rsidP="00614EB3">
      <w:pPr>
        <w:autoSpaceDE w:val="0"/>
        <w:autoSpaceDN w:val="0"/>
        <w:ind w:firstLine="708"/>
        <w:rPr>
          <w:i/>
          <w:sz w:val="28"/>
          <w:szCs w:val="28"/>
        </w:rPr>
      </w:pPr>
      <w:r w:rsidRPr="006B48ED">
        <w:rPr>
          <w:sz w:val="28"/>
          <w:szCs w:val="28"/>
        </w:rPr>
        <w:lastRenderedPageBreak/>
        <w:t>-</w:t>
      </w:r>
      <w:r w:rsidR="00E263E1">
        <w:rPr>
          <w:sz w:val="28"/>
          <w:szCs w:val="28"/>
        </w:rPr>
        <w:t xml:space="preserve">оценка стандартных издержек (издержек исполнения требований) – </w:t>
      </w:r>
      <w:r w:rsidR="0021136D">
        <w:rPr>
          <w:sz w:val="28"/>
          <w:szCs w:val="28"/>
        </w:rPr>
        <w:t>7 229,89</w:t>
      </w:r>
      <w:r w:rsidR="00013F25" w:rsidRPr="00E263E1">
        <w:rPr>
          <w:sz w:val="28"/>
          <w:szCs w:val="28"/>
        </w:rPr>
        <w:t xml:space="preserve"> </w:t>
      </w:r>
      <w:r w:rsidRPr="006B48ED">
        <w:rPr>
          <w:sz w:val="28"/>
          <w:szCs w:val="28"/>
        </w:rPr>
        <w:t>руб</w:t>
      </w:r>
      <w:r w:rsidR="00950A91" w:rsidRPr="006B48ED">
        <w:rPr>
          <w:sz w:val="28"/>
          <w:szCs w:val="28"/>
        </w:rPr>
        <w:t>.</w:t>
      </w:r>
    </w:p>
    <w:p w14:paraId="1071A48A" w14:textId="77777777" w:rsidR="00950A91" w:rsidRDefault="00853DAA" w:rsidP="00950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7. Оценка рисков невозможности решения проблемы предложенным способом, рисков непредвиденных негативных последствий</w:t>
      </w:r>
      <w:r w:rsidR="003F400A" w:rsidRPr="007A4DA8">
        <w:rPr>
          <w:rFonts w:ascii="Times New Roman" w:hAnsi="Times New Roman" w:cs="Times New Roman"/>
          <w:sz w:val="28"/>
          <w:szCs w:val="28"/>
        </w:rPr>
        <w:t>:</w:t>
      </w:r>
    </w:p>
    <w:p w14:paraId="72C1EBDD" w14:textId="3C7DCAB4" w:rsidR="00037A85" w:rsidRPr="00E263E1" w:rsidRDefault="00374536" w:rsidP="00E263E1">
      <w:pPr>
        <w:ind w:firstLine="708"/>
        <w:jc w:val="both"/>
      </w:pPr>
      <w:r w:rsidRPr="00374536">
        <w:rPr>
          <w:sz w:val="28"/>
        </w:rPr>
        <w:t>Риск ограничения поставки электроэнергии и газа для ресурсоснабжающих организаций МО Нефтеюганск из-за имеющейся задолженности за предоставленные топливно-энергетические ресурсы</w:t>
      </w:r>
      <w:r w:rsidR="00E263E1" w:rsidRPr="00E263E1">
        <w:rPr>
          <w:sz w:val="28"/>
        </w:rPr>
        <w:t>.</w:t>
      </w:r>
    </w:p>
    <w:p w14:paraId="14828429" w14:textId="77777777" w:rsidR="00037A85" w:rsidRPr="00E263E1" w:rsidRDefault="00037A85" w:rsidP="001D3DFC">
      <w:pPr>
        <w:pStyle w:val="ConsPlusNormal"/>
        <w:ind w:firstLine="709"/>
        <w:jc w:val="both"/>
      </w:pPr>
    </w:p>
    <w:p w14:paraId="6E14CA92" w14:textId="77777777" w:rsidR="00037A85" w:rsidRDefault="00037A85" w:rsidP="001D3DFC">
      <w:pPr>
        <w:pStyle w:val="ConsPlusNormal"/>
        <w:ind w:firstLine="709"/>
        <w:jc w:val="both"/>
      </w:pPr>
    </w:p>
    <w:p w14:paraId="2EAC2D4A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E52393D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BADD882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2E43384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FD512B4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A6669C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43FD0A5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20C8C4C0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54DF6B51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51FB77D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28CA1CD2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2C2CF245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E121A93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3630E4EF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4EC9B41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491B595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583B9D63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FB18890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615240C8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3CE147EE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80EDDF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DE35A43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DFF821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6C06E514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0A57B8D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0D6C27C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E42BDA4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B4118AF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940DF32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C50125B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DF8D6D9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E60A02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3B7F122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6A115B7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CF11F4A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7C1370F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6BF658FC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DEA495C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53B7397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3F826AA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536AAC54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3E62042F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5147479B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3692D88E" w14:textId="77777777" w:rsidR="00037A85" w:rsidRPr="00037A85" w:rsidRDefault="00B94C09" w:rsidP="00037A85">
      <w:pPr>
        <w:pStyle w:val="ConsPlusNormal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А.И.Слышанс</w:t>
      </w:r>
    </w:p>
    <w:p w14:paraId="3A8A91DC" w14:textId="77777777" w:rsidR="006B48ED" w:rsidRDefault="00037A85" w:rsidP="00037A85">
      <w:pPr>
        <w:pStyle w:val="ConsPlusNormal"/>
        <w:rPr>
          <w:rFonts w:ascii="Times New Roman" w:hAnsi="Times New Roman" w:cs="Times New Roman"/>
          <w:sz w:val="22"/>
        </w:rPr>
      </w:pPr>
      <w:r w:rsidRPr="00037A85">
        <w:rPr>
          <w:rFonts w:ascii="Times New Roman" w:hAnsi="Times New Roman" w:cs="Times New Roman"/>
          <w:sz w:val="22"/>
        </w:rPr>
        <w:t xml:space="preserve">Начальник отдела экономической </w:t>
      </w:r>
    </w:p>
    <w:p w14:paraId="710A6954" w14:textId="77777777" w:rsidR="00037A85" w:rsidRPr="00037A85" w:rsidRDefault="00037A85" w:rsidP="00037A85">
      <w:pPr>
        <w:pStyle w:val="ConsPlusNormal"/>
        <w:rPr>
          <w:rFonts w:ascii="Times New Roman" w:hAnsi="Times New Roman" w:cs="Times New Roman"/>
          <w:sz w:val="22"/>
        </w:rPr>
      </w:pPr>
      <w:r w:rsidRPr="00037A85">
        <w:rPr>
          <w:rFonts w:ascii="Times New Roman" w:hAnsi="Times New Roman" w:cs="Times New Roman"/>
          <w:sz w:val="22"/>
        </w:rPr>
        <w:t>политики и мониторинга департамента ЖКХ</w:t>
      </w:r>
    </w:p>
    <w:p w14:paraId="3777B580" w14:textId="77777777" w:rsidR="00037A85" w:rsidRDefault="00037A85" w:rsidP="00037A85">
      <w:pPr>
        <w:pStyle w:val="ConsPlusNormal"/>
      </w:pPr>
      <w:r w:rsidRPr="00037A85">
        <w:rPr>
          <w:rFonts w:ascii="Times New Roman" w:hAnsi="Times New Roman" w:cs="Times New Roman"/>
          <w:sz w:val="22"/>
        </w:rPr>
        <w:t>Тел.: 23 77 49</w:t>
      </w:r>
    </w:p>
    <w:sectPr w:rsidR="00037A85" w:rsidSect="00E263E1">
      <w:pgSz w:w="11906" w:h="16838"/>
      <w:pgMar w:top="1021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1DE"/>
    <w:rsid w:val="00013F25"/>
    <w:rsid w:val="00024D2D"/>
    <w:rsid w:val="00037A85"/>
    <w:rsid w:val="001579EF"/>
    <w:rsid w:val="00162295"/>
    <w:rsid w:val="001D3DFC"/>
    <w:rsid w:val="0021136D"/>
    <w:rsid w:val="002944FA"/>
    <w:rsid w:val="002A3E63"/>
    <w:rsid w:val="002A7AD2"/>
    <w:rsid w:val="002C0B91"/>
    <w:rsid w:val="002D427A"/>
    <w:rsid w:val="00314378"/>
    <w:rsid w:val="00374536"/>
    <w:rsid w:val="003E6085"/>
    <w:rsid w:val="003F400A"/>
    <w:rsid w:val="00427912"/>
    <w:rsid w:val="00434A79"/>
    <w:rsid w:val="0044147F"/>
    <w:rsid w:val="00520D15"/>
    <w:rsid w:val="00524E8B"/>
    <w:rsid w:val="0054182D"/>
    <w:rsid w:val="00555FA7"/>
    <w:rsid w:val="0057455D"/>
    <w:rsid w:val="005A0DCC"/>
    <w:rsid w:val="005E7531"/>
    <w:rsid w:val="00614EB3"/>
    <w:rsid w:val="00622AF6"/>
    <w:rsid w:val="00684EC1"/>
    <w:rsid w:val="0069061A"/>
    <w:rsid w:val="006B48ED"/>
    <w:rsid w:val="007124C6"/>
    <w:rsid w:val="007701B6"/>
    <w:rsid w:val="00777B5B"/>
    <w:rsid w:val="007829D9"/>
    <w:rsid w:val="007A452A"/>
    <w:rsid w:val="007A4DA8"/>
    <w:rsid w:val="007F114C"/>
    <w:rsid w:val="008430E8"/>
    <w:rsid w:val="00853DAA"/>
    <w:rsid w:val="008932C9"/>
    <w:rsid w:val="008B6ECE"/>
    <w:rsid w:val="00906F47"/>
    <w:rsid w:val="00950A91"/>
    <w:rsid w:val="00957572"/>
    <w:rsid w:val="0096101C"/>
    <w:rsid w:val="00967402"/>
    <w:rsid w:val="009867C9"/>
    <w:rsid w:val="009F4E1C"/>
    <w:rsid w:val="00AB59E0"/>
    <w:rsid w:val="00AF1A8C"/>
    <w:rsid w:val="00B94C09"/>
    <w:rsid w:val="00BE5D94"/>
    <w:rsid w:val="00C4166A"/>
    <w:rsid w:val="00CA25AF"/>
    <w:rsid w:val="00CC4C21"/>
    <w:rsid w:val="00D00A02"/>
    <w:rsid w:val="00D120DE"/>
    <w:rsid w:val="00D366EA"/>
    <w:rsid w:val="00D84080"/>
    <w:rsid w:val="00DB5C47"/>
    <w:rsid w:val="00DF0C64"/>
    <w:rsid w:val="00E263E1"/>
    <w:rsid w:val="00E551DE"/>
    <w:rsid w:val="00E666D7"/>
    <w:rsid w:val="00FC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C44B"/>
  <w15:docId w15:val="{FF6A48C1-22E9-4BBB-9037-86C5AE8F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D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Гиперссылка1"/>
    <w:link w:val="a3"/>
    <w:rsid w:val="00162295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6229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0B9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C0B9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524E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Евгеньевна</dc:creator>
  <cp:keywords/>
  <dc:description/>
  <cp:lastModifiedBy>Пользователь</cp:lastModifiedBy>
  <cp:revision>32</cp:revision>
  <cp:lastPrinted>2024-03-20T05:22:00Z</cp:lastPrinted>
  <dcterms:created xsi:type="dcterms:W3CDTF">2022-07-29T05:18:00Z</dcterms:created>
  <dcterms:modified xsi:type="dcterms:W3CDTF">2025-08-19T10:34:00Z</dcterms:modified>
</cp:coreProperties>
</file>