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0C2D8" w14:textId="77777777"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14:paraId="24CF9C6E" w14:textId="77777777"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14:paraId="5F2C17D3" w14:textId="77777777" w:rsidTr="00E32672">
        <w:trPr>
          <w:trHeight w:val="158"/>
        </w:trPr>
        <w:tc>
          <w:tcPr>
            <w:tcW w:w="5000" w:type="pct"/>
            <w:gridSpan w:val="2"/>
          </w:tcPr>
          <w:p w14:paraId="4BB0F822" w14:textId="77777777"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14:paraId="24A3BB76" w14:textId="77777777" w:rsidTr="00E32672">
        <w:trPr>
          <w:trHeight w:val="158"/>
        </w:trPr>
        <w:tc>
          <w:tcPr>
            <w:tcW w:w="2759" w:type="pct"/>
          </w:tcPr>
          <w:p w14:paraId="399AF3F0" w14:textId="77777777"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</w:tcPr>
          <w:p w14:paraId="088D0273" w14:textId="6DFAA204" w:rsidR="000C10FF" w:rsidRPr="007B5AF9" w:rsidRDefault="000C10FF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DF378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21F3">
              <w:rPr>
                <w:rFonts w:ascii="Times New Roman" w:hAnsi="Times New Roman"/>
                <w:sz w:val="28"/>
                <w:szCs w:val="28"/>
                <w:lang w:eastAsia="ru-RU"/>
              </w:rPr>
              <w:t>августа</w:t>
            </w:r>
            <w:r w:rsidR="001A3282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56E5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14:paraId="179D7325" w14:textId="77777777" w:rsidTr="00E32672">
        <w:trPr>
          <w:trHeight w:val="157"/>
        </w:trPr>
        <w:tc>
          <w:tcPr>
            <w:tcW w:w="2759" w:type="pct"/>
          </w:tcPr>
          <w:p w14:paraId="385B74DC" w14:textId="77777777"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</w:tcPr>
          <w:p w14:paraId="279EF158" w14:textId="25A352D3" w:rsidR="000C10FF" w:rsidRPr="008F409B" w:rsidRDefault="000C10FF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395FB9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21F3">
              <w:rPr>
                <w:rFonts w:ascii="Times New Roman" w:hAnsi="Times New Roman"/>
                <w:sz w:val="28"/>
                <w:szCs w:val="28"/>
                <w:lang w:eastAsia="ru-RU"/>
              </w:rPr>
              <w:t>сентября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56E5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14:paraId="3D6AE472" w14:textId="77777777" w:rsidTr="00E32672">
        <w:trPr>
          <w:trHeight w:val="157"/>
        </w:trPr>
        <w:tc>
          <w:tcPr>
            <w:tcW w:w="5000" w:type="pct"/>
            <w:gridSpan w:val="2"/>
          </w:tcPr>
          <w:p w14:paraId="0E57126F" w14:textId="77777777"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14:paraId="668E2F2C" w14:textId="77777777" w:rsidTr="00E32672">
        <w:trPr>
          <w:trHeight w:val="157"/>
        </w:trPr>
        <w:tc>
          <w:tcPr>
            <w:tcW w:w="2759" w:type="pct"/>
          </w:tcPr>
          <w:p w14:paraId="48CAC520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</w:tcPr>
          <w:p w14:paraId="25F9430E" w14:textId="77777777" w:rsidR="000C10FF" w:rsidRPr="0000664E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066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14:paraId="71A0FCD7" w14:textId="77777777" w:rsidTr="00E32672">
        <w:trPr>
          <w:trHeight w:val="157"/>
        </w:trPr>
        <w:tc>
          <w:tcPr>
            <w:tcW w:w="2759" w:type="pct"/>
          </w:tcPr>
          <w:p w14:paraId="77B4A8F0" w14:textId="77777777"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</w:tcPr>
          <w:p w14:paraId="68C1E5FD" w14:textId="77777777" w:rsidR="000C10FF" w:rsidRPr="0000664E" w:rsidRDefault="008D5C50" w:rsidP="008D5C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066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14:paraId="6BFF98FD" w14:textId="77777777" w:rsidTr="00E32672">
        <w:trPr>
          <w:trHeight w:val="157"/>
        </w:trPr>
        <w:tc>
          <w:tcPr>
            <w:tcW w:w="2759" w:type="pct"/>
          </w:tcPr>
          <w:p w14:paraId="4810AD74" w14:textId="77777777"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</w:tcPr>
          <w:p w14:paraId="42DB23F7" w14:textId="77777777" w:rsidR="000C10FF" w:rsidRPr="0000664E" w:rsidRDefault="008D5C50" w:rsidP="008D5C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066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14:paraId="2D2C8E49" w14:textId="77777777" w:rsidTr="00E32672">
        <w:trPr>
          <w:trHeight w:val="157"/>
        </w:trPr>
        <w:tc>
          <w:tcPr>
            <w:tcW w:w="2759" w:type="pct"/>
          </w:tcPr>
          <w:p w14:paraId="479D0F15" w14:textId="77777777"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</w:tcPr>
          <w:p w14:paraId="6F586521" w14:textId="77777777" w:rsidR="000C10FF" w:rsidRPr="0000664E" w:rsidRDefault="008D5C50" w:rsidP="008D5C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066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14:paraId="4CC24AFC" w14:textId="77777777" w:rsidTr="00E32672">
        <w:trPr>
          <w:trHeight w:val="157"/>
        </w:trPr>
        <w:tc>
          <w:tcPr>
            <w:tcW w:w="2759" w:type="pct"/>
          </w:tcPr>
          <w:p w14:paraId="215B648F" w14:textId="77777777"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</w:tcPr>
          <w:p w14:paraId="4A2D73DA" w14:textId="77777777" w:rsidR="000C10FF" w:rsidRPr="0000664E" w:rsidRDefault="0000664E" w:rsidP="00C836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066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</w:tbl>
    <w:p w14:paraId="54C388C0" w14:textId="77777777" w:rsidR="000C10FF" w:rsidRDefault="000C10FF" w:rsidP="000C10FF">
      <w:pPr>
        <w:pStyle w:val="a3"/>
        <w:jc w:val="center"/>
      </w:pPr>
    </w:p>
    <w:p w14:paraId="6C621A78" w14:textId="77777777" w:rsidR="000C10FF" w:rsidRPr="007B5AF9" w:rsidRDefault="000C10FF" w:rsidP="007A7DE3">
      <w:pPr>
        <w:pStyle w:val="a3"/>
        <w:jc w:val="center"/>
      </w:pPr>
      <w:r w:rsidRPr="007B5AF9">
        <w:t>1.Общая информация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14:paraId="1E9F0C64" w14:textId="77777777" w:rsidTr="00E32672">
        <w:tc>
          <w:tcPr>
            <w:tcW w:w="336" w:type="pct"/>
          </w:tcPr>
          <w:p w14:paraId="0A9E5CF1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</w:tcPr>
          <w:p w14:paraId="78603A07" w14:textId="77777777"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14:paraId="3F3F1F6F" w14:textId="77777777" w:rsidTr="00704DBF">
        <w:trPr>
          <w:trHeight w:val="795"/>
        </w:trPr>
        <w:tc>
          <w:tcPr>
            <w:tcW w:w="336" w:type="pct"/>
          </w:tcPr>
          <w:p w14:paraId="56AB16E4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</w:tcPr>
          <w:p w14:paraId="7C9A1C5D" w14:textId="77777777"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14:paraId="53CA42C2" w14:textId="77777777" w:rsidTr="00E32672">
        <w:trPr>
          <w:trHeight w:val="991"/>
        </w:trPr>
        <w:tc>
          <w:tcPr>
            <w:tcW w:w="336" w:type="pct"/>
          </w:tcPr>
          <w:p w14:paraId="73A5C4B5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</w:tcPr>
          <w:p w14:paraId="3978365C" w14:textId="0B14656F" w:rsidR="000C10FF" w:rsidRPr="003858F2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  <w:r w:rsidR="003858F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A3282" w:rsidRPr="00C64A14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проект постановления администрации города Нефтеюганска </w:t>
            </w:r>
            <w:r w:rsidR="00200267" w:rsidRPr="00200267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«О внесении изменений в постановление администрации города Нефтеюганска от 17.09.2020 № 142-нп «Об утверждении порядка предоставления субсидии из бюджета города Нефтеюганска на финансовое обеспечение затрат </w:t>
            </w:r>
            <w:r w:rsidR="00200267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="00200267" w:rsidRPr="00200267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      </w:r>
            <w:r w:rsidR="00D52FD9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 на 2023 год</w:t>
            </w:r>
            <w:r w:rsidR="001A3282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»</w:t>
            </w:r>
          </w:p>
        </w:tc>
      </w:tr>
      <w:tr w:rsidR="000C10FF" w:rsidRPr="007B5AF9" w14:paraId="7F265EC6" w14:textId="77777777" w:rsidTr="00E32672">
        <w:trPr>
          <w:trHeight w:val="1943"/>
        </w:trPr>
        <w:tc>
          <w:tcPr>
            <w:tcW w:w="336" w:type="pct"/>
          </w:tcPr>
          <w:p w14:paraId="116FF66E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64" w:type="pct"/>
            <w:gridSpan w:val="2"/>
          </w:tcPr>
          <w:p w14:paraId="0F4D874C" w14:textId="77777777" w:rsidR="0000664E" w:rsidRDefault="000C10FF" w:rsidP="003858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</w:p>
          <w:p w14:paraId="2C4C1DF7" w14:textId="6A562A3D" w:rsidR="000C10FF" w:rsidRPr="007B5AF9" w:rsidRDefault="00BF29C8" w:rsidP="003858F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BF29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разработан в соответствии с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23.12.2024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BF29C8">
              <w:rPr>
                <w:rFonts w:ascii="Times New Roman" w:hAnsi="Times New Roman"/>
                <w:sz w:val="28"/>
                <w:szCs w:val="28"/>
                <w:lang w:eastAsia="ru-RU"/>
              </w:rPr>
              <w:t>№ 700-VII «О бюджете города Нефтеюганска на 2025 год и плановый период 2026 и 2027 годов», Уставом города Нефтеюганска.</w:t>
            </w:r>
          </w:p>
        </w:tc>
      </w:tr>
      <w:tr w:rsidR="000C10FF" w:rsidRPr="007B5AF9" w14:paraId="5D6A772E" w14:textId="77777777" w:rsidTr="00E32672">
        <w:tc>
          <w:tcPr>
            <w:tcW w:w="336" w:type="pct"/>
            <w:vMerge w:val="restart"/>
          </w:tcPr>
          <w:p w14:paraId="7E0ECE28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</w:tcPr>
          <w:p w14:paraId="1907DB08" w14:textId="77777777"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 информация исполнителя разработчика:</w:t>
            </w:r>
          </w:p>
        </w:tc>
      </w:tr>
      <w:tr w:rsidR="000C10FF" w:rsidRPr="007B5AF9" w14:paraId="65CCC28F" w14:textId="77777777" w:rsidTr="00E32672">
        <w:tc>
          <w:tcPr>
            <w:tcW w:w="336" w:type="pct"/>
            <w:vMerge/>
          </w:tcPr>
          <w:p w14:paraId="586AFF2B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</w:tcPr>
          <w:p w14:paraId="1BCBFE33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9B61" w14:textId="10E13E58" w:rsidR="000C10FF" w:rsidRPr="001A3282" w:rsidRDefault="00BF29C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Слышанс Алена Ильинична</w:t>
            </w:r>
          </w:p>
        </w:tc>
      </w:tr>
      <w:tr w:rsidR="000C10FF" w:rsidRPr="007B5AF9" w14:paraId="7A22E225" w14:textId="77777777" w:rsidTr="00E32672">
        <w:tc>
          <w:tcPr>
            <w:tcW w:w="336" w:type="pct"/>
            <w:vMerge/>
          </w:tcPr>
          <w:p w14:paraId="7B50DE8F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</w:tcPr>
          <w:p w14:paraId="68770264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ACA4" w14:textId="58BD9177" w:rsidR="000C10FF" w:rsidRPr="00C157E8" w:rsidRDefault="00BF29C8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C157E8"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7B5AF9" w14:paraId="38F3BB27" w14:textId="77777777" w:rsidTr="00E32672">
        <w:trPr>
          <w:trHeight w:val="249"/>
        </w:trPr>
        <w:tc>
          <w:tcPr>
            <w:tcW w:w="336" w:type="pct"/>
            <w:vMerge/>
          </w:tcPr>
          <w:p w14:paraId="274AAC17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</w:tcPr>
          <w:p w14:paraId="76B8B190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DEE5" w14:textId="77777777"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7B5AF9" w14:paraId="0E09665B" w14:textId="77777777" w:rsidTr="00E32672">
        <w:trPr>
          <w:trHeight w:val="249"/>
        </w:trPr>
        <w:tc>
          <w:tcPr>
            <w:tcW w:w="336" w:type="pct"/>
            <w:vMerge/>
          </w:tcPr>
          <w:p w14:paraId="795F9757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</w:tcPr>
          <w:p w14:paraId="633DCC14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159F" w14:textId="77777777"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14:paraId="19A872A0" w14:textId="77777777"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421520" w14:textId="77777777"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14:paraId="783164E2" w14:textId="77777777"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2"/>
        <w:gridCol w:w="3996"/>
        <w:gridCol w:w="4247"/>
      </w:tblGrid>
      <w:tr w:rsidR="00EB2CA1" w:rsidRPr="00F53BA4" w14:paraId="4AB6D8D5" w14:textId="77777777" w:rsidTr="009D61A7">
        <w:tc>
          <w:tcPr>
            <w:tcW w:w="1102" w:type="dxa"/>
          </w:tcPr>
          <w:p w14:paraId="19F82079" w14:textId="77777777"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996" w:type="dxa"/>
          </w:tcPr>
          <w:p w14:paraId="5F028ADC" w14:textId="77777777"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247" w:type="dxa"/>
          </w:tcPr>
          <w:p w14:paraId="7F961001" w14:textId="3F072027" w:rsidR="000C10FF" w:rsidRPr="00F53BA4" w:rsidRDefault="00BF29C8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Средняя</w:t>
            </w:r>
          </w:p>
          <w:p w14:paraId="3AF100C2" w14:textId="77777777"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14:paraId="480517E3" w14:textId="77777777" w:rsidTr="005141EB">
        <w:tc>
          <w:tcPr>
            <w:tcW w:w="1102" w:type="dxa"/>
          </w:tcPr>
          <w:p w14:paraId="63A952B8" w14:textId="77777777"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243" w:type="dxa"/>
            <w:gridSpan w:val="2"/>
          </w:tcPr>
          <w:p w14:paraId="71D759E5" w14:textId="77777777" w:rsidR="00956E51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14:paraId="6DA0AC76" w14:textId="395F7809" w:rsidR="000C10FF" w:rsidRPr="00F53BA4" w:rsidRDefault="00C157E8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</w:t>
            </w:r>
            <w:r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роект </w:t>
            </w:r>
            <w:r w:rsidR="00BF29C8" w:rsidRPr="00BF29C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14:paraId="41B958EF" w14:textId="77777777" w:rsidTr="009D61A7">
        <w:tc>
          <w:tcPr>
            <w:tcW w:w="5098" w:type="dxa"/>
            <w:gridSpan w:val="2"/>
          </w:tcPr>
          <w:p w14:paraId="06724466" w14:textId="77777777"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247" w:type="dxa"/>
          </w:tcPr>
          <w:p w14:paraId="68B6A3DE" w14:textId="77777777"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2.4.Оценка наличия в проекте акта положений, регулирующих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отношения в указанной области (сфере)</w:t>
            </w:r>
          </w:p>
        </w:tc>
      </w:tr>
      <w:tr w:rsidR="00EB2CA1" w:rsidRPr="00F53BA4" w14:paraId="3111F798" w14:textId="77777777" w:rsidTr="009D61A7">
        <w:tc>
          <w:tcPr>
            <w:tcW w:w="1102" w:type="dxa"/>
          </w:tcPr>
          <w:p w14:paraId="7E95A821" w14:textId="77777777"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2.3.1</w:t>
            </w:r>
          </w:p>
        </w:tc>
        <w:tc>
          <w:tcPr>
            <w:tcW w:w="3996" w:type="dxa"/>
          </w:tcPr>
          <w:p w14:paraId="4E5FFBFD" w14:textId="77777777"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247" w:type="dxa"/>
          </w:tcPr>
          <w:p w14:paraId="5352F871" w14:textId="77777777" w:rsidR="000C10FF" w:rsidRPr="006C7AAD" w:rsidRDefault="000C10FF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EB2CA1" w:rsidRPr="00F53BA4" w14:paraId="28478DA5" w14:textId="77777777" w:rsidTr="009D61A7">
        <w:tc>
          <w:tcPr>
            <w:tcW w:w="1102" w:type="dxa"/>
          </w:tcPr>
          <w:p w14:paraId="19545551" w14:textId="77777777"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996" w:type="dxa"/>
          </w:tcPr>
          <w:p w14:paraId="5359C8C2" w14:textId="77777777"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247" w:type="dxa"/>
          </w:tcPr>
          <w:p w14:paraId="3677AD7E" w14:textId="77777777" w:rsidR="000C10FF" w:rsidRPr="00F53BA4" w:rsidRDefault="009C6D41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EB2CA1" w:rsidRPr="00F53BA4" w14:paraId="4B53880E" w14:textId="77777777" w:rsidTr="009D61A7">
        <w:tc>
          <w:tcPr>
            <w:tcW w:w="1102" w:type="dxa"/>
          </w:tcPr>
          <w:p w14:paraId="5C11C8BC" w14:textId="77777777"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996" w:type="dxa"/>
          </w:tcPr>
          <w:p w14:paraId="314EAD50" w14:textId="77777777"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247" w:type="dxa"/>
          </w:tcPr>
          <w:p w14:paraId="325BA7CF" w14:textId="77777777"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14:paraId="01419090" w14:textId="77777777"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EB2CA1" w:rsidRPr="00F53BA4" w14:paraId="3677D3E7" w14:textId="77777777" w:rsidTr="009D61A7">
        <w:tc>
          <w:tcPr>
            <w:tcW w:w="1102" w:type="dxa"/>
          </w:tcPr>
          <w:p w14:paraId="5E974D36" w14:textId="77777777"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EB2CA1"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996" w:type="dxa"/>
          </w:tcPr>
          <w:p w14:paraId="6D7A0AE6" w14:textId="77777777"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содержит положения, предусмотренные 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47" w:type="dxa"/>
          </w:tcPr>
          <w:p w14:paraId="7E01042D" w14:textId="77777777"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14:paraId="073FBFA2" w14:textId="05F6A2DC" w:rsidR="00EB2CA1" w:rsidRDefault="009C6D41" w:rsidP="00EB2CA1">
            <w:pPr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6D41">
              <w:rPr>
                <w:rFonts w:ascii="Times New Roman" w:hAnsi="Times New Roman"/>
                <w:sz w:val="28"/>
                <w:szCs w:val="28"/>
                <w:lang w:eastAsia="ru-RU"/>
              </w:rPr>
              <w:t>Основанием для разработки является</w:t>
            </w:r>
            <w:r w:rsidR="007F0C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приведение в соответствие с</w:t>
            </w:r>
            <w:r w:rsidRPr="009C6D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0CDD" w:rsidRPr="007F0C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</w:t>
            </w:r>
            <w:r w:rsidR="007F0CDD" w:rsidRPr="007F0CD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      </w:r>
          </w:p>
          <w:p w14:paraId="33A75BC1" w14:textId="77777777" w:rsidR="000C10FF" w:rsidRPr="00F53BA4" w:rsidRDefault="000C10FF" w:rsidP="00EB2CA1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  <w:tr w:rsidR="00EB2CA1" w:rsidRPr="00F53BA4" w14:paraId="0AD500B6" w14:textId="77777777" w:rsidTr="009D61A7">
        <w:tc>
          <w:tcPr>
            <w:tcW w:w="1102" w:type="dxa"/>
          </w:tcPr>
          <w:p w14:paraId="2E092820" w14:textId="77777777"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996" w:type="dxa"/>
          </w:tcPr>
          <w:p w14:paraId="305519FC" w14:textId="77777777"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14:paraId="4BD2A187" w14:textId="77777777"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14:paraId="6A8B8EBC" w14:textId="77777777"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247" w:type="dxa"/>
          </w:tcPr>
          <w:p w14:paraId="06EFA235" w14:textId="77777777"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14:paraId="322E91EA" w14:textId="77777777"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14:paraId="3FA07C80" w14:textId="77777777"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14:paraId="2889012A" w14:textId="77777777"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AFE60D5" w14:textId="77777777"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14:paraId="7BD5842C" w14:textId="77777777"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8588"/>
      </w:tblGrid>
      <w:tr w:rsidR="00F049F3" w:rsidRPr="007B5AF9" w14:paraId="36AE1850" w14:textId="77777777" w:rsidTr="007A7DE3">
        <w:tc>
          <w:tcPr>
            <w:tcW w:w="405" w:type="pct"/>
          </w:tcPr>
          <w:p w14:paraId="493C800C" w14:textId="77777777" w:rsidR="00F049F3" w:rsidRPr="007B5AF9" w:rsidRDefault="00F049F3" w:rsidP="00F049F3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</w:tcPr>
          <w:p w14:paraId="10B1D759" w14:textId="77777777" w:rsidR="00A95C95" w:rsidRDefault="00F049F3" w:rsidP="00F049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49F3">
              <w:rPr>
                <w:rFonts w:ascii="Times New Roman" w:hAnsi="Times New Roman"/>
                <w:sz w:val="28"/>
                <w:szCs w:val="28"/>
              </w:rPr>
              <w:t>Описание проблемы, на решение которой направлен предлагаемый способ правового регулирования, условий и факторов ее существования:</w:t>
            </w:r>
          </w:p>
          <w:p w14:paraId="5F947A45" w14:textId="77777777" w:rsidR="00A95C95" w:rsidRDefault="00A95C95" w:rsidP="00F049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C95">
              <w:rPr>
                <w:rFonts w:ascii="Times New Roman" w:hAnsi="Times New Roman"/>
                <w:sz w:val="28"/>
                <w:szCs w:val="28"/>
              </w:rPr>
              <w:t>Несоответствие порядка и условий предоставления субсидий действующему законодательству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56D2195" w14:textId="69673134" w:rsidR="00F049F3" w:rsidRPr="00D8481F" w:rsidRDefault="00F049F3" w:rsidP="00A95C9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049F3">
              <w:rPr>
                <w:rFonts w:ascii="Times New Roman" w:hAnsi="Times New Roman"/>
                <w:sz w:val="28"/>
                <w:szCs w:val="28"/>
              </w:rPr>
              <w:t xml:space="preserve">Порядок определяет цели, условия и порядок предоставления </w:t>
            </w:r>
            <w:r w:rsidRPr="00F049F3">
              <w:rPr>
                <w:rFonts w:ascii="Times New Roman" w:hAnsi="Times New Roman"/>
                <w:bCs/>
                <w:sz w:val="28"/>
                <w:szCs w:val="28"/>
              </w:rPr>
              <w:t xml:space="preserve">из бюджета города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Нефтеюганска</w:t>
            </w:r>
            <w:r w:rsidRPr="00F049F3">
              <w:rPr>
                <w:rFonts w:ascii="Times New Roman" w:hAnsi="Times New Roman"/>
                <w:bCs/>
                <w:sz w:val="28"/>
                <w:szCs w:val="28"/>
              </w:rPr>
              <w:t xml:space="preserve"> субсидии, целью которой является:</w:t>
            </w:r>
            <w:r w:rsidR="00A95C9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8481F" w:rsidRPr="00D8481F">
              <w:rPr>
                <w:rFonts w:ascii="Times New Roman" w:hAnsi="Times New Roman"/>
                <w:bCs/>
                <w:sz w:val="28"/>
                <w:szCs w:val="28"/>
              </w:rPr>
              <w:t>финансовое обеспечение затрат</w:t>
            </w:r>
            <w:r w:rsidR="00A95C9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8481F" w:rsidRPr="00D8481F">
              <w:rPr>
                <w:rFonts w:ascii="Times New Roman" w:hAnsi="Times New Roman"/>
                <w:bCs/>
                <w:sz w:val="28"/>
                <w:szCs w:val="28"/>
              </w:rPr>
              <w:t xml:space="preserve">АО «Югансктранстеплосервис», </w:t>
            </w:r>
            <w:r w:rsidR="00A95C95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</w:t>
            </w:r>
            <w:r w:rsidR="00D8481F" w:rsidRPr="00D8481F">
              <w:rPr>
                <w:rFonts w:ascii="Times New Roman" w:hAnsi="Times New Roman"/>
                <w:bCs/>
                <w:sz w:val="28"/>
                <w:szCs w:val="28"/>
              </w:rPr>
              <w:t>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      </w:r>
            <w:r w:rsidRPr="00F049F3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D8481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8481F" w:rsidRPr="00F049F3">
              <w:rPr>
                <w:rFonts w:ascii="Times New Roman" w:hAnsi="Times New Roman"/>
                <w:bCs/>
                <w:sz w:val="28"/>
                <w:szCs w:val="28"/>
              </w:rPr>
              <w:t xml:space="preserve">и направленных </w:t>
            </w:r>
            <w:r w:rsidR="00D8481F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="00D8481F" w:rsidRPr="00D8481F">
              <w:rPr>
                <w:rFonts w:ascii="Times New Roman" w:hAnsi="Times New Roman"/>
                <w:bCs/>
                <w:sz w:val="28"/>
                <w:szCs w:val="28"/>
              </w:rPr>
              <w:t>обеспечени</w:t>
            </w:r>
            <w:r w:rsidR="00D8481F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8481F" w:rsidRPr="00D8481F">
              <w:rPr>
                <w:rFonts w:ascii="Times New Roman" w:hAnsi="Times New Roman"/>
                <w:bCs/>
                <w:sz w:val="28"/>
                <w:szCs w:val="28"/>
              </w:rPr>
              <w:t xml:space="preserve"> бесперебойными услугами теплоснабжения</w:t>
            </w:r>
            <w:r w:rsidR="00D8481F">
              <w:t xml:space="preserve"> </w:t>
            </w:r>
            <w:r w:rsidR="00D8481F" w:rsidRPr="00D8481F">
              <w:rPr>
                <w:rFonts w:ascii="Times New Roman" w:hAnsi="Times New Roman"/>
                <w:bCs/>
                <w:sz w:val="28"/>
                <w:szCs w:val="28"/>
              </w:rPr>
              <w:t xml:space="preserve">водоснабжения и водоотведения, потребителей муниципального образования город Нефтеюганск, создания условий для устойчивой работы </w:t>
            </w:r>
            <w:r w:rsidR="00D8481F">
              <w:rPr>
                <w:rFonts w:ascii="Times New Roman" w:hAnsi="Times New Roman"/>
                <w:bCs/>
                <w:sz w:val="28"/>
                <w:szCs w:val="28"/>
              </w:rPr>
              <w:t>ресурсоснабжающих</w:t>
            </w:r>
            <w:r w:rsidR="00D8481F" w:rsidRPr="00D8481F">
              <w:rPr>
                <w:rFonts w:ascii="Times New Roman" w:hAnsi="Times New Roman"/>
                <w:bCs/>
                <w:sz w:val="28"/>
                <w:szCs w:val="28"/>
              </w:rPr>
              <w:t xml:space="preserve"> организаци</w:t>
            </w:r>
            <w:r w:rsidR="00D8481F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="00D8481F" w:rsidRPr="00D8481F">
              <w:rPr>
                <w:rFonts w:ascii="Times New Roman" w:hAnsi="Times New Roman"/>
                <w:bCs/>
                <w:sz w:val="28"/>
                <w:szCs w:val="28"/>
              </w:rPr>
              <w:t xml:space="preserve"> на территории города Нефтеюганска</w:t>
            </w:r>
            <w:r w:rsidR="00D8481F">
              <w:rPr>
                <w:rFonts w:ascii="Times New Roman" w:hAnsi="Times New Roman"/>
                <w:bCs/>
                <w:sz w:val="28"/>
                <w:szCs w:val="28"/>
              </w:rPr>
              <w:t>, в</w:t>
            </w:r>
            <w:r w:rsidRPr="00F049F3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соответствии с муниципальной программы города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Нефтеюганск</w:t>
            </w:r>
            <w:r w:rsidRPr="00F049F3">
              <w:rPr>
                <w:rFonts w:ascii="Times New Roman" w:hAnsi="Times New Roman"/>
                <w:bCs/>
                <w:sz w:val="28"/>
                <w:szCs w:val="28"/>
              </w:rPr>
              <w:t xml:space="preserve">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      </w:r>
          </w:p>
        </w:tc>
      </w:tr>
      <w:tr w:rsidR="000C10FF" w:rsidRPr="007B5AF9" w14:paraId="2543A8C4" w14:textId="77777777" w:rsidTr="007A7DE3">
        <w:tc>
          <w:tcPr>
            <w:tcW w:w="405" w:type="pct"/>
          </w:tcPr>
          <w:p w14:paraId="4FE77DF8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5" w:type="pct"/>
          </w:tcPr>
          <w:p w14:paraId="7ED862D0" w14:textId="77777777" w:rsidR="00F049F3" w:rsidRDefault="000C10FF" w:rsidP="0050271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</w:pPr>
            <w:r w:rsidRPr="00F049F3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  <w:r w:rsidR="00F04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5453F7" w:rsidRPr="00F049F3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 w:rsidRPr="00F049F3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F049F3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</w:t>
            </w:r>
          </w:p>
          <w:p w14:paraId="4E53CFF4" w14:textId="7EBDA460" w:rsidR="009C7A84" w:rsidRDefault="00F049F3" w:rsidP="0050271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</w:t>
            </w:r>
            <w:r w:rsidR="00A95C95" w:rsidRPr="00A95C95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Несоответствие порядка и условий предоставления субсидий действующему законодательству приведет к невозможности предоставления субсидии из бюджета города </w:t>
            </w:r>
            <w:r w:rsidR="00A95C95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>Нефтеюганска</w:t>
            </w:r>
            <w:r w:rsidR="00A95C95" w:rsidRPr="00A95C95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>, целью которой является снижение просроченной кредиторской задолженности за потребленные топливно-энергетические ресурсы</w:t>
            </w:r>
            <w:r w:rsidR="00A95C95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>, что повлечет н</w:t>
            </w:r>
            <w:r w:rsidR="005453F7" w:rsidRPr="00F049F3">
              <w:rPr>
                <w:rFonts w:ascii="Times New Roman" w:hAnsi="Times New Roman"/>
                <w:sz w:val="28"/>
                <w:szCs w:val="28"/>
                <w:lang w:eastAsia="ru-RU"/>
              </w:rPr>
              <w:t>еисполнение мероприятий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  <w:r w:rsidR="00A95C9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14:paraId="005DB05E" w14:textId="59AB84C5" w:rsidR="00F049F3" w:rsidRPr="00F049F3" w:rsidRDefault="00A95C95" w:rsidP="00A95C95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Наличие кредиторской задолженности за </w:t>
            </w:r>
            <w:r w:rsidRPr="00A95C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потребленные топливно-энергетические ресурсы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может привести к некачественной подготовке к осенне-зимнему отопительному периоду 2025-2026 годов.</w:t>
            </w:r>
          </w:p>
        </w:tc>
      </w:tr>
      <w:tr w:rsidR="000C10FF" w:rsidRPr="007B5AF9" w14:paraId="31C05B4F" w14:textId="77777777" w:rsidTr="007A7DE3">
        <w:trPr>
          <w:trHeight w:val="1759"/>
        </w:trPr>
        <w:tc>
          <w:tcPr>
            <w:tcW w:w="405" w:type="pct"/>
          </w:tcPr>
          <w:p w14:paraId="2FAE3DE6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14:paraId="4A89687C" w14:textId="77777777" w:rsidR="00B24BBD" w:rsidRDefault="000C10FF" w:rsidP="00B24BB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14:paraId="57C498DE" w14:textId="77777777" w:rsidR="001E1DAB" w:rsidRDefault="001E1DAB" w:rsidP="001E1DAB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E1DA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Необходимость разработки муниципального нормативного правового акта возникла в связи с несоответствием с постановлениями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</w:t>
            </w:r>
          </w:p>
          <w:p w14:paraId="3AC3B27A" w14:textId="5789AD27" w:rsidR="001E1DAB" w:rsidRPr="001E1DAB" w:rsidRDefault="001E1DAB" w:rsidP="001E1DAB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E1DA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Правовое регулирование направлено на устранение несоответствия с</w:t>
            </w:r>
          </w:p>
          <w:p w14:paraId="147A4546" w14:textId="7F6BE117" w:rsidR="001E1DAB" w:rsidRPr="007B5AF9" w:rsidRDefault="001E1DAB" w:rsidP="002F545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1E1DA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федеральным законодательством.</w:t>
            </w:r>
          </w:p>
        </w:tc>
      </w:tr>
      <w:tr w:rsidR="000C10FF" w:rsidRPr="007B5AF9" w14:paraId="2FD9F212" w14:textId="77777777" w:rsidTr="007A7DE3">
        <w:tc>
          <w:tcPr>
            <w:tcW w:w="405" w:type="pct"/>
          </w:tcPr>
          <w:p w14:paraId="3B7BA71D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14:paraId="11C6CCF8" w14:textId="77777777"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14:paraId="5BCED6BF" w14:textId="77777777" w:rsidR="0050271F" w:rsidRDefault="004B53D6" w:rsidP="002F545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53D6">
              <w:rPr>
                <w:rFonts w:ascii="Times New Roman" w:hAnsi="Times New Roman"/>
                <w:sz w:val="28"/>
                <w:szCs w:val="28"/>
                <w:lang w:eastAsia="ru-RU"/>
              </w:rPr>
              <w:t>Проблема не может быть решена без вмешательства администрации города Нефтеюганска, поскольку главным распорядителем бюджетных средств, осуществляющим предоставление субсидии в пределах бюджетных ассигнований и лимитов бюджетных обязательств, предусмотренных в бюджете города Нефтеюганска на соответствующий финансовый год, является департамент жилищно-коммунального хозяйства администрации города Нефтеюганска</w:t>
            </w:r>
            <w:r w:rsidR="002F545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14:paraId="60A643C0" w14:textId="77777777" w:rsidR="002F545F" w:rsidRDefault="002F545F" w:rsidP="002F545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F545F">
              <w:rPr>
                <w:rFonts w:ascii="Times New Roman" w:eastAsia="Calibri" w:hAnsi="Times New Roman"/>
                <w:sz w:val="28"/>
                <w:szCs w:val="28"/>
              </w:rPr>
              <w:t xml:space="preserve">Без разработки проекта данного нормативного правового акта финансовое обеспечение затрат АО «Югансктранстеплосервис»,                     АО «Юганскводоканал», осуществляющим свою деятельность в сфере теплоснабжения, водоснабжения и водоотведения и </w:t>
            </w:r>
            <w:r w:rsidRPr="002F545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оказывающим коммунальные услуги населению города Нефтеюганска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2F545F">
              <w:rPr>
                <w:rFonts w:ascii="Times New Roman" w:eastAsia="Calibri" w:hAnsi="Times New Roman"/>
                <w:sz w:val="28"/>
                <w:szCs w:val="28"/>
              </w:rPr>
              <w:t>невозможно.</w:t>
            </w:r>
          </w:p>
          <w:p w14:paraId="2F2371C6" w14:textId="7DD097B6" w:rsidR="002F545F" w:rsidRDefault="002F545F" w:rsidP="002F545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F545F">
              <w:rPr>
                <w:rFonts w:ascii="Times New Roman" w:eastAsia="Calibri" w:hAnsi="Times New Roman"/>
                <w:sz w:val="28"/>
                <w:szCs w:val="28"/>
              </w:rPr>
              <w:t>АО «Югансктранстеплосервис», АО «Юганскводоканал»</w:t>
            </w:r>
            <w:r w:rsidR="009E1634">
              <w:rPr>
                <w:rFonts w:ascii="Times New Roman" w:eastAsia="Calibri" w:hAnsi="Times New Roman"/>
                <w:sz w:val="28"/>
                <w:szCs w:val="28"/>
              </w:rPr>
              <w:t xml:space="preserve"> наделены статусом гарантирующей организации в сфере тепло-, водоснабжения и водоотведения в соответствии с постановлениями администрации города Нефтеюганска:</w:t>
            </w:r>
          </w:p>
          <w:p w14:paraId="4C3EA8C9" w14:textId="77777777" w:rsidR="009E1634" w:rsidRDefault="009E1634" w:rsidP="002F545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9E1634">
              <w:rPr>
                <w:rFonts w:ascii="Times New Roman" w:eastAsia="Calibri" w:hAnsi="Times New Roman"/>
                <w:sz w:val="28"/>
                <w:szCs w:val="28"/>
              </w:rPr>
              <w:t xml:space="preserve">от 15.09.2017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Pr="009E1634">
              <w:rPr>
                <w:rFonts w:ascii="Times New Roman" w:eastAsia="Calibri" w:hAnsi="Times New Roman"/>
                <w:sz w:val="28"/>
                <w:szCs w:val="28"/>
              </w:rPr>
              <w:t xml:space="preserve"> 569-п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9E1634">
              <w:rPr>
                <w:rFonts w:ascii="Times New Roman" w:eastAsia="Calibri" w:hAnsi="Times New Roman"/>
                <w:sz w:val="28"/>
                <w:szCs w:val="28"/>
              </w:rPr>
              <w:t>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»;</w:t>
            </w:r>
          </w:p>
          <w:p w14:paraId="50CBA731" w14:textId="7E9A14C7" w:rsidR="009E1634" w:rsidRPr="007B5AF9" w:rsidRDefault="009E1634" w:rsidP="002F545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9E1634">
              <w:rPr>
                <w:rFonts w:ascii="Times New Roman" w:eastAsia="Calibri" w:hAnsi="Times New Roman"/>
                <w:sz w:val="28"/>
                <w:szCs w:val="28"/>
              </w:rPr>
              <w:t xml:space="preserve">от 27.06.2013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Pr="009E1634">
              <w:rPr>
                <w:rFonts w:ascii="Times New Roman" w:eastAsia="Calibri" w:hAnsi="Times New Roman"/>
                <w:sz w:val="28"/>
                <w:szCs w:val="28"/>
              </w:rPr>
              <w:t xml:space="preserve"> 638-п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9E1634">
              <w:rPr>
                <w:rFonts w:ascii="Times New Roman" w:eastAsia="Calibri" w:hAnsi="Times New Roman"/>
                <w:sz w:val="28"/>
                <w:szCs w:val="28"/>
              </w:rPr>
              <w:t>Об определении гарантирующей организации в сфере водоснабжения и водоотведения на территории города Нефтеюганска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</w:tc>
      </w:tr>
      <w:tr w:rsidR="000C10FF" w:rsidRPr="007B5AF9" w14:paraId="2DC18070" w14:textId="77777777" w:rsidTr="007A7DE3">
        <w:tc>
          <w:tcPr>
            <w:tcW w:w="405" w:type="pct"/>
          </w:tcPr>
          <w:p w14:paraId="57286C43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595" w:type="pct"/>
          </w:tcPr>
          <w:p w14:paraId="44CE2A5F" w14:textId="77777777" w:rsidR="00EA2067" w:rsidRDefault="000C10FF" w:rsidP="00EA206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14:paraId="343C44CC" w14:textId="77777777" w:rsidR="00EA2067" w:rsidRPr="00EA2067" w:rsidRDefault="00EA2067" w:rsidP="00EA206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067">
              <w:rPr>
                <w:rFonts w:ascii="Times New Roman" w:hAnsi="Times New Roman"/>
                <w:sz w:val="28"/>
                <w:szCs w:val="28"/>
                <w:lang w:eastAsia="ru-RU"/>
              </w:rPr>
              <w:t>-решения Думы города Нефтеюганска от 23.12.2024 № 700-VII «О бюджете города Нефтеюганска на 2025 год и плановый период 2026 и 2027 годов»;</w:t>
            </w:r>
          </w:p>
          <w:p w14:paraId="07280820" w14:textId="77777777" w:rsidR="00EA2067" w:rsidRPr="00EA2067" w:rsidRDefault="00EA2067" w:rsidP="00EA206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067">
              <w:rPr>
                <w:rFonts w:ascii="Times New Roman" w:hAnsi="Times New Roman"/>
                <w:sz w:val="28"/>
                <w:szCs w:val="28"/>
                <w:lang w:eastAsia="ru-RU"/>
              </w:rPr>
              <w:t>-информационно-телекоммуникационная сеть «Интернет»;</w:t>
            </w:r>
          </w:p>
          <w:p w14:paraId="25CC6814" w14:textId="77777777" w:rsidR="008D5C50" w:rsidRPr="008D5C50" w:rsidRDefault="00EA2067" w:rsidP="00EA206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067">
              <w:rPr>
                <w:rFonts w:ascii="Times New Roman" w:hAnsi="Times New Roman"/>
                <w:sz w:val="28"/>
                <w:szCs w:val="28"/>
                <w:lang w:eastAsia="ru-RU"/>
              </w:rPr>
              <w:t>-информационная правовая система «КонсультантПлюс».</w:t>
            </w:r>
          </w:p>
        </w:tc>
      </w:tr>
      <w:tr w:rsidR="000C10FF" w:rsidRPr="007B5AF9" w14:paraId="701AE0CB" w14:textId="77777777" w:rsidTr="007A7DE3">
        <w:tc>
          <w:tcPr>
            <w:tcW w:w="405" w:type="pct"/>
          </w:tcPr>
          <w:p w14:paraId="736912DD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14:paraId="2105A1BF" w14:textId="77777777"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14:paraId="522EC5BB" w14:textId="77777777"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76465AE" w14:textId="77777777"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14:paraId="119DC0BF" w14:textId="77777777"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14:paraId="1721D4BA" w14:textId="77777777" w:rsidTr="00E32672">
        <w:tc>
          <w:tcPr>
            <w:tcW w:w="410" w:type="pct"/>
          </w:tcPr>
          <w:p w14:paraId="6BF80E84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</w:tcPr>
          <w:p w14:paraId="2651C176" w14:textId="77777777" w:rsidR="000E5326" w:rsidRDefault="000C10FF" w:rsidP="000E53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14:paraId="297787BD" w14:textId="65EDDF46" w:rsidR="002B0E3A" w:rsidRDefault="000E5326" w:rsidP="000E53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A0500" w:rsidRPr="00DA0500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администрации города Пыть-Яха от 28.09.2021 № 443-па «Об утверждении порядка предоставления субсидии из бюджета города Пыть-Яха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699F1627" w14:textId="6EB7BC91" w:rsidR="000C10FF" w:rsidRPr="007E3A5C" w:rsidRDefault="001A3282" w:rsidP="005978F6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 w:rsidRPr="005978F6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="00DA0500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="00DA0500" w:rsidRPr="00DA0500">
              <w:rPr>
                <w:rFonts w:ascii="Times New Roman" w:eastAsia="Calibri" w:hAnsi="Times New Roman"/>
                <w:sz w:val="28"/>
                <w:szCs w:val="28"/>
              </w:rPr>
              <w:t>остановление Администрации города Мегиона от 28.08.2024</w:t>
            </w:r>
            <w:r w:rsidR="00DA0500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</w:t>
            </w:r>
            <w:r w:rsidR="00DA0500" w:rsidRPr="00DA0500">
              <w:rPr>
                <w:rFonts w:ascii="Times New Roman" w:eastAsia="Calibri" w:hAnsi="Times New Roman"/>
                <w:sz w:val="28"/>
                <w:szCs w:val="28"/>
              </w:rPr>
              <w:t xml:space="preserve"> № 1739 «Об утверждении порядка предоставления субсидии из бюджета города Мегиона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 города Мегиона, связанных с погашением задолженности за потребленные топливно-энергетические ресурсы»</w:t>
            </w:r>
            <w:r w:rsidR="005978F6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0C10FF" w:rsidRPr="007B5AF9" w14:paraId="3BE56F03" w14:textId="77777777" w:rsidTr="00E32672">
        <w:tc>
          <w:tcPr>
            <w:tcW w:w="410" w:type="pct"/>
          </w:tcPr>
          <w:p w14:paraId="07EA8F08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</w:tcPr>
          <w:p w14:paraId="4C7DE6DE" w14:textId="77777777" w:rsidR="00A74F5B" w:rsidRDefault="000C10FF" w:rsidP="002B0E3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14:paraId="150EBEFF" w14:textId="77777777" w:rsidR="00A74F5B" w:rsidRDefault="00A74F5B" w:rsidP="002B0E3A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71C20923" w14:textId="77777777" w:rsidR="000C10FF" w:rsidRPr="007B5AF9" w:rsidRDefault="00A74F5B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A74F5B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информационная правовая система «КонсультантПлюс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</w:p>
        </w:tc>
      </w:tr>
    </w:tbl>
    <w:p w14:paraId="6BE0A41F" w14:textId="77777777"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40537E4" w14:textId="77777777"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14:paraId="4BB291A8" w14:textId="77777777" w:rsidTr="004B420F">
        <w:trPr>
          <w:trHeight w:val="989"/>
        </w:trPr>
        <w:tc>
          <w:tcPr>
            <w:tcW w:w="405" w:type="pct"/>
          </w:tcPr>
          <w:p w14:paraId="773DFEC4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</w:tcPr>
          <w:p w14:paraId="20639659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14:paraId="278B9299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</w:tcPr>
          <w:p w14:paraId="3083CF40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14:paraId="039A1880" w14:textId="77777777" w:rsidTr="00E32672">
        <w:trPr>
          <w:trHeight w:val="367"/>
        </w:trPr>
        <w:tc>
          <w:tcPr>
            <w:tcW w:w="2366" w:type="pct"/>
            <w:gridSpan w:val="2"/>
          </w:tcPr>
          <w:p w14:paraId="250291B4" w14:textId="6F777A98" w:rsidR="000C10FF" w:rsidRPr="007B5AF9" w:rsidRDefault="00112624" w:rsidP="00EA5D6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Цель 1. ц</w:t>
            </w:r>
            <w:r w:rsidRPr="00112624">
              <w:rPr>
                <w:rFonts w:ascii="Times New Roman" w:eastAsia="Calibri" w:hAnsi="Times New Roman"/>
                <w:sz w:val="28"/>
                <w:szCs w:val="28"/>
              </w:rPr>
              <w:t>елью предоставления субсидии является снижение просроченной кредиторской задолженности за потребленные топливно-энергетические ресурсы (электрическая энергия, газ).</w:t>
            </w:r>
          </w:p>
        </w:tc>
        <w:tc>
          <w:tcPr>
            <w:tcW w:w="2634" w:type="pct"/>
            <w:gridSpan w:val="2"/>
          </w:tcPr>
          <w:p w14:paraId="6E9C7750" w14:textId="77777777" w:rsidR="000C10FF" w:rsidRPr="007B5AF9" w:rsidRDefault="00B82286" w:rsidP="00AA4C23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82286">
              <w:rPr>
                <w:rFonts w:ascii="Times New Roman" w:eastAsia="Calibri" w:hAnsi="Times New Roman"/>
                <w:sz w:val="28"/>
                <w:szCs w:val="28"/>
              </w:rPr>
              <w:t>В течении срока действия постановления</w:t>
            </w:r>
          </w:p>
        </w:tc>
      </w:tr>
      <w:tr w:rsidR="000C10FF" w:rsidRPr="007B5AF9" w14:paraId="2CF5C84E" w14:textId="77777777" w:rsidTr="004B420F">
        <w:tc>
          <w:tcPr>
            <w:tcW w:w="405" w:type="pct"/>
          </w:tcPr>
          <w:p w14:paraId="49AA9149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14:paraId="2F946C7F" w14:textId="77777777" w:rsidR="00EA5D64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14:paraId="13EE0300" w14:textId="5FFCCCFB" w:rsidR="000C10FF" w:rsidRPr="007B5AF9" w:rsidRDefault="00EA5D64" w:rsidP="0011262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A5D64">
              <w:rPr>
                <w:rFonts w:ascii="Times New Roman" w:hAnsi="Times New Roman"/>
                <w:sz w:val="28"/>
                <w:szCs w:val="28"/>
                <w:lang w:eastAsia="ru-RU"/>
              </w:rPr>
              <w:t>Субсидия предоставляется в целях реализации</w:t>
            </w:r>
            <w:r w:rsidR="00112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5D64">
              <w:rPr>
                <w:rFonts w:ascii="Times New Roman" w:eastAsia="Calibri" w:hAnsi="Times New Roman"/>
                <w:sz w:val="28"/>
                <w:szCs w:val="28"/>
              </w:rPr>
              <w:t>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</w:t>
            </w:r>
          </w:p>
        </w:tc>
      </w:tr>
      <w:tr w:rsidR="000C10FF" w:rsidRPr="007B5AF9" w14:paraId="78126A1A" w14:textId="77777777" w:rsidTr="004B420F">
        <w:tc>
          <w:tcPr>
            <w:tcW w:w="405" w:type="pct"/>
          </w:tcPr>
          <w:p w14:paraId="6C121FBE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14:paraId="0E5899D6" w14:textId="77777777"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14:paraId="757D4C98" w14:textId="77777777"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2F06BD0" w14:textId="77777777" w:rsidR="007A7DE3" w:rsidRPr="007B5AF9" w:rsidRDefault="007A7DE3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C64E97F" w14:textId="77777777"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14:paraId="065E8C4D" w14:textId="77777777"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14:paraId="135CA1B4" w14:textId="77777777" w:rsidTr="00E32672">
        <w:tc>
          <w:tcPr>
            <w:tcW w:w="410" w:type="pct"/>
          </w:tcPr>
          <w:p w14:paraId="74390D4F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</w:tcPr>
          <w:p w14:paraId="4BC07766" w14:textId="77777777" w:rsidR="006A3452" w:rsidRDefault="000C10FF" w:rsidP="00943E6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14:paraId="1F77E690" w14:textId="77777777" w:rsidR="00F51F61" w:rsidRDefault="00F51F61" w:rsidP="0011262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51F61">
              <w:rPr>
                <w:rFonts w:ascii="Times New Roman" w:eastAsia="Calibri" w:hAnsi="Times New Roman"/>
                <w:sz w:val="28"/>
                <w:szCs w:val="28"/>
              </w:rPr>
              <w:t>Проектом предусмотрено внесение изменений в Порядок предоставления субсидии в соответствии с постановлением Правительства Российской Федерации от 25.10.2023 №1782 «Об утверждении общих требований к нормативно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14:paraId="31B16CE1" w14:textId="0D94C5E0" w:rsidR="005076FB" w:rsidRPr="005076FB" w:rsidRDefault="00F51F61" w:rsidP="0011262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51F61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Принятие нормативного правового акта позволит снизить просроченную кредиторскую задолженность за потребленные топливно-энергетические ресурсы получателей субсидии перед поставщиками ресурсов</w:t>
            </w:r>
          </w:p>
          <w:p w14:paraId="7A4710CE" w14:textId="77777777" w:rsidR="006A3452" w:rsidRPr="001A3282" w:rsidRDefault="00A441D5" w:rsidP="00943E6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A441D5">
              <w:rPr>
                <w:rFonts w:ascii="Times New Roman" w:hAnsi="Times New Roman"/>
                <w:sz w:val="28"/>
              </w:rPr>
              <w:t>Негативные эффекты отсутствуют</w:t>
            </w:r>
          </w:p>
        </w:tc>
      </w:tr>
      <w:tr w:rsidR="000C10FF" w:rsidRPr="007B5AF9" w14:paraId="75E7EA1B" w14:textId="77777777" w:rsidTr="00E32672">
        <w:tc>
          <w:tcPr>
            <w:tcW w:w="410" w:type="pct"/>
          </w:tcPr>
          <w:p w14:paraId="63B43B66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</w:tcPr>
          <w:p w14:paraId="14579D10" w14:textId="77777777" w:rsidR="002C49F3" w:rsidRDefault="000C10FF" w:rsidP="0076610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14:paraId="00311C99" w14:textId="77777777" w:rsidR="005076FB" w:rsidRDefault="00A441D5" w:rsidP="00A441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41D5">
              <w:rPr>
                <w:rFonts w:ascii="Times New Roman" w:hAnsi="Times New Roman"/>
                <w:sz w:val="28"/>
                <w:szCs w:val="28"/>
                <w:lang w:eastAsia="ru-RU"/>
              </w:rPr>
              <w:t>Альтернативным вариантом правового регулирования является непринятие данного нормативного правового акта</w:t>
            </w:r>
            <w:r w:rsidR="007B2511">
              <w:rPr>
                <w:rFonts w:ascii="Times New Roman" w:hAnsi="Times New Roman"/>
                <w:sz w:val="28"/>
                <w:szCs w:val="28"/>
                <w:lang w:eastAsia="ru-RU"/>
              </w:rPr>
              <w:t>, отказ от разработки.</w:t>
            </w:r>
          </w:p>
          <w:p w14:paraId="7722CC61" w14:textId="0C483BEB" w:rsidR="007B2511" w:rsidRPr="007B2511" w:rsidRDefault="00F51F61" w:rsidP="00F51F6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1F61">
              <w:rPr>
                <w:rFonts w:ascii="Times New Roman" w:hAnsi="Times New Roman"/>
                <w:sz w:val="28"/>
                <w:szCs w:val="28"/>
                <w:lang w:eastAsia="ru-RU"/>
              </w:rPr>
              <w:t>Данный альтернативный вариант приведет к несоответствию требованиям Постановления Правительства РФ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а также обеспечит непрозрачность действий органов власти администрации города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части</w:t>
            </w:r>
            <w:r w:rsidR="007B2511" w:rsidRPr="007B25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контроля (мониторинга) достижения результатов предоставления субсидии. Такая ситуация может привести к получению актов прокурорского реагирования (представлений, предписаний о бездействии органов местного самоуправления), а также невозможности расходования бюджетных средств, запланированных на реализацию мероприятия </w:t>
            </w:r>
            <w:r w:rsidR="007B2511" w:rsidRPr="00CC23A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  <w:r w:rsidR="007B2511" w:rsidRPr="007B25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что в свою очередь будет способствовать риску возникновения убытков и невозможности осуществления деятельности направленной на </w:t>
            </w:r>
            <w:r w:rsidR="007B2511" w:rsidRPr="007B2511">
              <w:rPr>
                <w:rFonts w:ascii="Times New Roman" w:eastAsia="Calibri" w:hAnsi="Times New Roman"/>
                <w:sz w:val="28"/>
                <w:szCs w:val="28"/>
              </w:rPr>
              <w:t>подачу услуг теплоснабжения и (или) водоснабжения, и (или) водоотведения населению города Н</w:t>
            </w:r>
            <w:r w:rsidR="007B2511">
              <w:rPr>
                <w:rFonts w:ascii="Times New Roman" w:eastAsia="Calibri" w:hAnsi="Times New Roman"/>
                <w:sz w:val="28"/>
                <w:szCs w:val="28"/>
              </w:rPr>
              <w:t>ефтеюганска</w:t>
            </w:r>
            <w:r w:rsidR="007B2511" w:rsidRPr="007B2511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="00A7261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0D07AB4A" w14:textId="77777777" w:rsidR="007B2511" w:rsidRDefault="007B2511" w:rsidP="007B2511">
            <w:pPr>
              <w:pBdr>
                <w:bottom w:val="single" w:sz="4" w:space="1" w:color="auto"/>
              </w:pBdr>
              <w:spacing w:after="0" w:line="240" w:lineRule="auto"/>
              <w:ind w:firstLine="47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6A9F">
              <w:rPr>
                <w:rFonts w:ascii="Times New Roman" w:hAnsi="Times New Roman"/>
                <w:sz w:val="28"/>
                <w:szCs w:val="28"/>
                <w:lang w:eastAsia="ru-RU"/>
              </w:rPr>
              <w:t>Следовательно, выбранный вариант правового регулирования можно считать более оптимальным</w:t>
            </w:r>
            <w:r w:rsidR="00851A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части</w:t>
            </w:r>
            <w:r w:rsidRPr="00156A9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контроля за надлежащим выполнением условий заключенного соглашения, а также порядка возврата денежных средств, в случае невыполнения установленных показателей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A7261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7A42F618" w14:textId="77777777" w:rsidR="00A72617" w:rsidRPr="003523EF" w:rsidRDefault="007B2511" w:rsidP="00A72617">
            <w:pPr>
              <w:pBdr>
                <w:bottom w:val="single" w:sz="4" w:space="1" w:color="auto"/>
              </w:pBdr>
              <w:spacing w:after="0" w:line="240" w:lineRule="auto"/>
              <w:ind w:firstLine="47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6011A">
              <w:rPr>
                <w:rFonts w:ascii="Times New Roman" w:hAnsi="Times New Roman"/>
                <w:sz w:val="28"/>
                <w:szCs w:val="28"/>
                <w:lang w:eastAsia="ru-RU"/>
              </w:rPr>
              <w:t>В связи с вышеизложенным, разработка данного Проекта муниципального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нормативного правового акта </w:t>
            </w:r>
            <w:r w:rsidRPr="00F6011A">
              <w:rPr>
                <w:rFonts w:ascii="Times New Roman" w:hAnsi="Times New Roman"/>
                <w:sz w:val="28"/>
                <w:szCs w:val="28"/>
                <w:lang w:eastAsia="ru-RU"/>
              </w:rPr>
              <w:t>является необходимым условием внедрения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6011A">
              <w:rPr>
                <w:rFonts w:ascii="Times New Roman" w:hAnsi="Times New Roman"/>
                <w:sz w:val="28"/>
                <w:szCs w:val="28"/>
                <w:lang w:eastAsia="ru-RU"/>
              </w:rPr>
              <w:t>правового регулирования, так как единственным акционером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ресурсоснабжающих организаций города </w:t>
            </w:r>
            <w:r w:rsidRPr="00F6011A">
              <w:rPr>
                <w:rFonts w:ascii="Times New Roman" w:hAnsi="Times New Roman"/>
                <w:sz w:val="28"/>
                <w:szCs w:val="28"/>
                <w:lang w:eastAsia="ru-RU"/>
              </w:rPr>
              <w:t>является муниципальное образование город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6011A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Нефтеюганск, согласно Устава предприяти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F6011A">
              <w:rPr>
                <w:rFonts w:ascii="Times New Roman" w:hAnsi="Times New Roman"/>
                <w:sz w:val="28"/>
                <w:szCs w:val="28"/>
                <w:lang w:eastAsia="ru-RU"/>
              </w:rPr>
              <w:t>, таким образом без поддержки со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60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стороны </w:t>
            </w:r>
            <w:r w:rsidRPr="00F6011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администрации решить данную проблему не представляется возможным.</w:t>
            </w:r>
          </w:p>
        </w:tc>
      </w:tr>
      <w:tr w:rsidR="000C10FF" w:rsidRPr="007B5AF9" w14:paraId="3D2ABB68" w14:textId="77777777" w:rsidTr="00E32672">
        <w:tc>
          <w:tcPr>
            <w:tcW w:w="410" w:type="pct"/>
          </w:tcPr>
          <w:p w14:paraId="5D0D0385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</w:tcPr>
          <w:p w14:paraId="574CECF1" w14:textId="77777777" w:rsidR="000C10FF" w:rsidRPr="003523EF" w:rsidRDefault="00A441D5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441D5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 данный способ решения проблемы отвечает действующему законодательству РФ и обеспечивает достижение заявленной цели</w:t>
            </w:r>
          </w:p>
        </w:tc>
      </w:tr>
      <w:tr w:rsidR="000C10FF" w:rsidRPr="007B5AF9" w14:paraId="507A6240" w14:textId="77777777" w:rsidTr="00E32672">
        <w:tc>
          <w:tcPr>
            <w:tcW w:w="410" w:type="pct"/>
          </w:tcPr>
          <w:p w14:paraId="2B64672A" w14:textId="77777777"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</w:tcPr>
          <w:p w14:paraId="45D67CB1" w14:textId="77777777"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14:paraId="021803D3" w14:textId="77777777" w:rsidR="0065091A" w:rsidRDefault="000C10FF" w:rsidP="00CA446E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14:paraId="145D29B3" w14:textId="77777777" w:rsidTr="00A702BB">
        <w:trPr>
          <w:trHeight w:val="55"/>
        </w:trPr>
        <w:tc>
          <w:tcPr>
            <w:tcW w:w="447" w:type="pct"/>
          </w:tcPr>
          <w:p w14:paraId="6E576F92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</w:tcPr>
          <w:p w14:paraId="2B601D8B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</w:tcPr>
          <w:p w14:paraId="215A1E76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</w:tcPr>
          <w:p w14:paraId="194F5ADA" w14:textId="77777777"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14:paraId="0C5992B0" w14:textId="77777777" w:rsidTr="00A702BB">
        <w:trPr>
          <w:trHeight w:val="1213"/>
        </w:trPr>
        <w:tc>
          <w:tcPr>
            <w:tcW w:w="2616" w:type="pct"/>
            <w:gridSpan w:val="2"/>
          </w:tcPr>
          <w:p w14:paraId="55157CF6" w14:textId="77777777"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Группа №1 </w:t>
            </w:r>
            <w:r w:rsidR="00B03658" w:rsidRPr="00B03658">
              <w:rPr>
                <w:rFonts w:ascii="Times New Roman" w:eastAsia="Calibri" w:hAnsi="Times New Roman"/>
                <w:sz w:val="28"/>
                <w:szCs w:val="28"/>
              </w:rPr>
              <w:t>Юридические лица</w:t>
            </w:r>
            <w:r w:rsidR="007846F0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="007846F0" w:rsidRPr="007846F0">
              <w:rPr>
                <w:rFonts w:ascii="Times New Roman" w:eastAsia="Calibri" w:hAnsi="Times New Roman"/>
                <w:sz w:val="28"/>
                <w:szCs w:val="28"/>
              </w:rPr>
              <w:t>ресурсоснабжающ</w:t>
            </w:r>
            <w:r w:rsidR="007846F0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233227">
              <w:rPr>
                <w:rFonts w:ascii="Times New Roman" w:eastAsia="Calibri" w:hAnsi="Times New Roman"/>
                <w:sz w:val="28"/>
                <w:szCs w:val="28"/>
              </w:rPr>
              <w:t>е</w:t>
            </w:r>
            <w:r w:rsidR="007846F0" w:rsidRPr="007846F0">
              <w:rPr>
                <w:rFonts w:ascii="Times New Roman" w:eastAsia="Calibri" w:hAnsi="Times New Roman"/>
                <w:sz w:val="28"/>
                <w:szCs w:val="28"/>
              </w:rPr>
              <w:t xml:space="preserve"> организаци</w:t>
            </w:r>
            <w:r w:rsidR="007846F0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7846F0" w:rsidRPr="007846F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356843" w:rsidRPr="00356843">
              <w:rPr>
                <w:rFonts w:ascii="Times New Roman" w:eastAsia="Calibri" w:hAnsi="Times New Roman"/>
                <w:sz w:val="28"/>
                <w:szCs w:val="28"/>
              </w:rPr>
              <w:t>оказывающ</w:t>
            </w:r>
            <w:r w:rsidR="00356843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356843" w:rsidRPr="00356843">
              <w:rPr>
                <w:rFonts w:ascii="Times New Roman" w:eastAsia="Calibri" w:hAnsi="Times New Roman"/>
                <w:sz w:val="28"/>
                <w:szCs w:val="28"/>
              </w:rPr>
              <w:t>е услуги теплоснабжения, водоснабжения и водоотведения</w:t>
            </w:r>
          </w:p>
        </w:tc>
        <w:tc>
          <w:tcPr>
            <w:tcW w:w="2384" w:type="pct"/>
            <w:gridSpan w:val="2"/>
          </w:tcPr>
          <w:p w14:paraId="3467C767" w14:textId="77777777" w:rsidR="00A702BB" w:rsidRPr="007B5AF9" w:rsidRDefault="00BA1C04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9C6C80" w:rsidRPr="007B5AF9" w14:paraId="14E41CA2" w14:textId="77777777" w:rsidTr="00A702BB">
        <w:trPr>
          <w:trHeight w:val="52"/>
        </w:trPr>
        <w:tc>
          <w:tcPr>
            <w:tcW w:w="2616" w:type="pct"/>
            <w:gridSpan w:val="2"/>
          </w:tcPr>
          <w:p w14:paraId="635D1C5D" w14:textId="77777777"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</w:tcPr>
          <w:p w14:paraId="0615FEFE" w14:textId="77777777" w:rsidR="009C6C80" w:rsidRPr="00544118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544118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7B5AF9" w14:paraId="2E9E5F73" w14:textId="77777777" w:rsidTr="00A702BB">
        <w:tc>
          <w:tcPr>
            <w:tcW w:w="447" w:type="pct"/>
          </w:tcPr>
          <w:p w14:paraId="0E2B3BD6" w14:textId="77777777"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</w:tcPr>
          <w:p w14:paraId="2BA33113" w14:textId="2B71A041" w:rsidR="009C6C80" w:rsidRPr="007B5AF9" w:rsidRDefault="009C6C80" w:rsidP="006721F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</w:p>
        </w:tc>
      </w:tr>
    </w:tbl>
    <w:p w14:paraId="0CC08570" w14:textId="77777777" w:rsidR="000C10FF" w:rsidRPr="00303753" w:rsidRDefault="000C10FF" w:rsidP="00CA446E">
      <w:pPr>
        <w:spacing w:after="0" w:line="240" w:lineRule="auto"/>
        <w:rPr>
          <w:rFonts w:ascii="Times New Roman" w:hAnsi="Times New Roman"/>
          <w:sz w:val="18"/>
          <w:szCs w:val="28"/>
          <w:lang w:eastAsia="ru-RU"/>
        </w:rPr>
      </w:pPr>
    </w:p>
    <w:p w14:paraId="50CBD82D" w14:textId="77777777" w:rsidR="0065091A" w:rsidRPr="00303753" w:rsidRDefault="000C10FF" w:rsidP="00303753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права органа или структурного </w:t>
      </w:r>
      <w:r w:rsidRPr="00C44624">
        <w:rPr>
          <w:rFonts w:ascii="Times New Roman" w:hAnsi="Times New Roman"/>
          <w:sz w:val="28"/>
          <w:szCs w:val="28"/>
          <w:lang w:eastAsia="ru-RU"/>
        </w:rPr>
        <w:t>подразделения администрации города Нефтеюганска, или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2862"/>
        <w:gridCol w:w="2814"/>
      </w:tblGrid>
      <w:tr w:rsidR="000C10FF" w:rsidRPr="007B5AF9" w14:paraId="506EF1F1" w14:textId="77777777" w:rsidTr="00D52FD9">
        <w:tc>
          <w:tcPr>
            <w:tcW w:w="1920" w:type="pct"/>
          </w:tcPr>
          <w:p w14:paraId="373122EB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53" w:type="pct"/>
          </w:tcPr>
          <w:p w14:paraId="731572C6" w14:textId="77777777"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14:paraId="18E11B3B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14:paraId="0EDE5F4F" w14:textId="77777777"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27" w:type="pct"/>
          </w:tcPr>
          <w:p w14:paraId="03FB0802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14:paraId="20E5077E" w14:textId="77777777" w:rsidTr="00E32672">
        <w:tc>
          <w:tcPr>
            <w:tcW w:w="5000" w:type="pct"/>
            <w:gridSpan w:val="3"/>
          </w:tcPr>
          <w:p w14:paraId="4B4493C0" w14:textId="77777777"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14:paraId="40E6CA1D" w14:textId="77777777" w:rsidTr="00D52FD9">
        <w:tc>
          <w:tcPr>
            <w:tcW w:w="1920" w:type="pct"/>
          </w:tcPr>
          <w:p w14:paraId="0D5D1EFB" w14:textId="2FE91BCB" w:rsidR="000C10FF" w:rsidRPr="008C1AA9" w:rsidRDefault="00D52FD9" w:rsidP="00D52F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2FD9">
              <w:rPr>
                <w:rFonts w:ascii="Times New Roman" w:hAnsi="Times New Roman"/>
                <w:color w:val="000000"/>
                <w:sz w:val="28"/>
                <w:szCs w:val="20"/>
                <w:lang w:eastAsia="ru-RU"/>
              </w:rPr>
              <w:t xml:space="preserve">Внесение изменений в НПА не предусматривает изменений существующих функций </w:t>
            </w:r>
          </w:p>
        </w:tc>
        <w:tc>
          <w:tcPr>
            <w:tcW w:w="1553" w:type="pct"/>
          </w:tcPr>
          <w:p w14:paraId="11D516FC" w14:textId="5A5F95FA" w:rsidR="00970230" w:rsidRPr="00970230" w:rsidRDefault="00D52FD9" w:rsidP="009702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2FD9"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  <w:p w14:paraId="38A715AD" w14:textId="77777777" w:rsidR="000C10FF" w:rsidRPr="008C1AA9" w:rsidRDefault="000C10FF" w:rsidP="00D52F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27" w:type="pct"/>
          </w:tcPr>
          <w:p w14:paraId="7CF75ED7" w14:textId="77777777" w:rsidR="00970230" w:rsidRPr="00970230" w:rsidRDefault="00970230" w:rsidP="00970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0230">
              <w:rPr>
                <w:rFonts w:ascii="Times New Roman" w:hAnsi="Times New Roman"/>
                <w:sz w:val="28"/>
                <w:szCs w:val="28"/>
              </w:rPr>
              <w:t xml:space="preserve">Работа проводится специалистами департамента жилищно-коммунального хозяйства администрации </w:t>
            </w:r>
            <w:r w:rsidRPr="0097023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города Нефтеюганска. </w:t>
            </w:r>
          </w:p>
          <w:p w14:paraId="38FE6BDF" w14:textId="77777777" w:rsidR="00970230" w:rsidRPr="00970230" w:rsidRDefault="00970230" w:rsidP="009702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230">
              <w:rPr>
                <w:rFonts w:ascii="Times New Roman" w:hAnsi="Times New Roman"/>
                <w:sz w:val="28"/>
                <w:szCs w:val="28"/>
                <w:lang w:eastAsia="ru-RU"/>
              </w:rPr>
              <w:t>Трудовые затраты и штатная численность не изменяется.</w:t>
            </w:r>
          </w:p>
          <w:p w14:paraId="137D16F7" w14:textId="77777777" w:rsidR="000C10FF" w:rsidRPr="007B5AF9" w:rsidRDefault="00970230" w:rsidP="009702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70230"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  <w:tr w:rsidR="000C10FF" w:rsidRPr="007B5AF9" w14:paraId="09095BFC" w14:textId="77777777" w:rsidTr="00E32672">
        <w:tc>
          <w:tcPr>
            <w:tcW w:w="5000" w:type="pct"/>
            <w:gridSpan w:val="3"/>
          </w:tcPr>
          <w:p w14:paraId="70E47FD7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Наименование органа:</w:t>
            </w:r>
            <w:r w:rsidR="000E10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Администрация города Нефтеюганска</w:t>
            </w:r>
          </w:p>
        </w:tc>
      </w:tr>
      <w:tr w:rsidR="00970230" w:rsidRPr="007B5AF9" w14:paraId="79BC3583" w14:textId="77777777" w:rsidTr="00D52FD9">
        <w:tc>
          <w:tcPr>
            <w:tcW w:w="1920" w:type="pct"/>
          </w:tcPr>
          <w:p w14:paraId="471A9635" w14:textId="77777777" w:rsidR="00970230" w:rsidRPr="00970230" w:rsidRDefault="00970230" w:rsidP="009702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230">
              <w:rPr>
                <w:rFonts w:ascii="Times New Roman" w:hAnsi="Times New Roman"/>
                <w:sz w:val="28"/>
                <w:szCs w:val="28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553" w:type="pct"/>
          </w:tcPr>
          <w:p w14:paraId="620149EA" w14:textId="77777777" w:rsidR="00970230" w:rsidRPr="00970230" w:rsidRDefault="00970230" w:rsidP="009702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0230">
              <w:rPr>
                <w:rFonts w:ascii="Times New Roman" w:hAnsi="Times New Roman"/>
                <w:sz w:val="28"/>
                <w:szCs w:val="28"/>
                <w:lang w:eastAsia="ru-RU"/>
              </w:rPr>
              <w:t>НПА не предусматривает изменения функций</w:t>
            </w:r>
          </w:p>
        </w:tc>
        <w:tc>
          <w:tcPr>
            <w:tcW w:w="1527" w:type="pct"/>
          </w:tcPr>
          <w:p w14:paraId="667D8DF7" w14:textId="77777777" w:rsidR="00970230" w:rsidRPr="00970230" w:rsidRDefault="00970230" w:rsidP="009702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7023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</w:tbl>
    <w:p w14:paraId="445DDB4D" w14:textId="77777777"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FB2E46D" w14:textId="77777777"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14:paraId="6CF20010" w14:textId="77777777" w:rsidR="0065091A" w:rsidRDefault="000C10FF" w:rsidP="003037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14:paraId="0361F11C" w14:textId="77777777" w:rsidTr="000636D9">
        <w:tc>
          <w:tcPr>
            <w:tcW w:w="1660" w:type="pct"/>
            <w:gridSpan w:val="2"/>
          </w:tcPr>
          <w:p w14:paraId="1AF9572E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</w:tcPr>
          <w:p w14:paraId="6A9252CE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(тыс.рублей)</w:t>
            </w:r>
          </w:p>
        </w:tc>
        <w:tc>
          <w:tcPr>
            <w:tcW w:w="1404" w:type="pct"/>
          </w:tcPr>
          <w:p w14:paraId="0A7F938A" w14:textId="77777777"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14:paraId="5B4BBB6B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(в тыс.рублей)</w:t>
            </w:r>
          </w:p>
        </w:tc>
      </w:tr>
      <w:tr w:rsidR="000C10FF" w:rsidRPr="007B5AF9" w14:paraId="19D5C91E" w14:textId="77777777" w:rsidTr="000636D9">
        <w:tc>
          <w:tcPr>
            <w:tcW w:w="501" w:type="pct"/>
          </w:tcPr>
          <w:p w14:paraId="5F6B6E9A" w14:textId="77777777"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</w:tcPr>
          <w:p w14:paraId="377EE2F6" w14:textId="77777777" w:rsidR="000C10FF" w:rsidRPr="00491837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14:paraId="6B7775BD" w14:textId="77777777" w:rsidTr="000636D9">
        <w:tc>
          <w:tcPr>
            <w:tcW w:w="501" w:type="pct"/>
            <w:vMerge w:val="restart"/>
          </w:tcPr>
          <w:p w14:paraId="39913DE5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</w:tcPr>
          <w:p w14:paraId="1400444C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</w:tcPr>
          <w:p w14:paraId="6948E3BC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</w:tcPr>
          <w:p w14:paraId="2C55921E" w14:textId="77777777"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</w:tcPr>
          <w:p w14:paraId="69D3552C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14:paraId="31B72AC3" w14:textId="77777777" w:rsidTr="000636D9">
        <w:tc>
          <w:tcPr>
            <w:tcW w:w="501" w:type="pct"/>
            <w:vMerge/>
          </w:tcPr>
          <w:p w14:paraId="60ECBE0F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</w:tcPr>
          <w:p w14:paraId="75441C97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</w:tcPr>
          <w:p w14:paraId="5109B036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</w:tcPr>
          <w:p w14:paraId="7BB9DC0F" w14:textId="77777777" w:rsidR="000C10FF" w:rsidRPr="007B5AF9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</w:tcPr>
          <w:p w14:paraId="243C207D" w14:textId="77777777" w:rsidR="000C10FF" w:rsidRPr="007B5AF9" w:rsidRDefault="001A328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14:paraId="4AD3BA6C" w14:textId="77777777" w:rsidTr="000636D9">
        <w:tc>
          <w:tcPr>
            <w:tcW w:w="501" w:type="pct"/>
            <w:vMerge/>
          </w:tcPr>
          <w:p w14:paraId="5AF03C07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</w:tcPr>
          <w:p w14:paraId="4D3BB36E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</w:tcPr>
          <w:p w14:paraId="065F6977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</w:tcPr>
          <w:p w14:paraId="155DC04B" w14:textId="77777777"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</w:tcPr>
          <w:p w14:paraId="48A6AA5A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CE225DF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14:paraId="0C28929A" w14:textId="77777777" w:rsidTr="000636D9">
        <w:tc>
          <w:tcPr>
            <w:tcW w:w="501" w:type="pct"/>
            <w:vMerge/>
          </w:tcPr>
          <w:p w14:paraId="37A395FB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</w:tcPr>
          <w:p w14:paraId="19BD825F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</w:tcPr>
          <w:p w14:paraId="163F353B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</w:tcPr>
          <w:p w14:paraId="11E9CD30" w14:textId="77777777" w:rsidR="000C10FF" w:rsidRPr="007B5AF9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</w:tcPr>
          <w:p w14:paraId="5171591E" w14:textId="6B2598B3" w:rsidR="00FD0A11" w:rsidRDefault="00FD0A1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0A11">
              <w:rPr>
                <w:rFonts w:ascii="Times New Roman" w:hAnsi="Times New Roman"/>
                <w:sz w:val="28"/>
                <w:szCs w:val="28"/>
                <w:lang w:eastAsia="ru-RU"/>
              </w:rPr>
              <w:t>На 2025 год плановый объем субсидий составляет</w:t>
            </w:r>
          </w:p>
          <w:p w14:paraId="0474B3F6" w14:textId="250C58FC" w:rsidR="000C10FF" w:rsidRPr="007B5AF9" w:rsidRDefault="00AE570D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1659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A01659" w:rsidRPr="00A01659">
              <w:rPr>
                <w:rFonts w:ascii="Times New Roman" w:hAnsi="Times New Roman"/>
                <w:sz w:val="28"/>
                <w:szCs w:val="28"/>
                <w:lang w:eastAsia="ru-RU"/>
              </w:rPr>
              <w:t> 952,77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D0A11" w:rsidRPr="007B5AF9" w14:paraId="32B4D187" w14:textId="77777777" w:rsidTr="000636D9">
        <w:tc>
          <w:tcPr>
            <w:tcW w:w="501" w:type="pct"/>
            <w:vMerge/>
          </w:tcPr>
          <w:p w14:paraId="0B8CD432" w14:textId="77777777" w:rsidR="00FD0A11" w:rsidRPr="007B5AF9" w:rsidRDefault="00FD0A1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</w:tcPr>
          <w:p w14:paraId="34B5491F" w14:textId="77777777" w:rsidR="00FD0A11" w:rsidRPr="007B5AF9" w:rsidRDefault="00FD0A1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</w:tcPr>
          <w:p w14:paraId="29C304A0" w14:textId="77777777" w:rsidR="00FD0A11" w:rsidRPr="007B5AF9" w:rsidRDefault="00FD0A1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</w:tcPr>
          <w:p w14:paraId="39954A36" w14:textId="77777777" w:rsidR="00FD0A11" w:rsidRPr="007B5AF9" w:rsidRDefault="00FD0A11" w:rsidP="00FD0A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0A11">
              <w:rPr>
                <w:rFonts w:ascii="Times New Roman" w:hAnsi="Times New Roman"/>
                <w:sz w:val="28"/>
                <w:szCs w:val="28"/>
                <w:lang w:eastAsia="ru-RU"/>
              </w:rPr>
              <w:t>на 2026 год</w:t>
            </w:r>
          </w:p>
        </w:tc>
        <w:tc>
          <w:tcPr>
            <w:tcW w:w="1404" w:type="pct"/>
          </w:tcPr>
          <w:p w14:paraId="2F4CDC86" w14:textId="1ABF1AA5" w:rsidR="00FD0A11" w:rsidRDefault="00250218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218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250218">
              <w:rPr>
                <w:rFonts w:ascii="Times New Roman" w:hAnsi="Times New Roman"/>
                <w:sz w:val="28"/>
                <w:szCs w:val="28"/>
                <w:lang w:eastAsia="ru-RU"/>
              </w:rPr>
              <w:t>440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250218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FD0A11" w:rsidRPr="007B5AF9" w14:paraId="62675CB2" w14:textId="77777777" w:rsidTr="000636D9">
        <w:tc>
          <w:tcPr>
            <w:tcW w:w="501" w:type="pct"/>
            <w:vMerge/>
          </w:tcPr>
          <w:p w14:paraId="5DD70181" w14:textId="77777777" w:rsidR="00FD0A11" w:rsidRPr="007B5AF9" w:rsidRDefault="00FD0A1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</w:tcPr>
          <w:p w14:paraId="1C61AD6C" w14:textId="77777777" w:rsidR="00FD0A11" w:rsidRPr="007B5AF9" w:rsidRDefault="00FD0A1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</w:tcPr>
          <w:p w14:paraId="6A46CFDD" w14:textId="77777777" w:rsidR="00FD0A11" w:rsidRPr="007B5AF9" w:rsidRDefault="00FD0A1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</w:tcPr>
          <w:p w14:paraId="39A14400" w14:textId="77777777" w:rsidR="00FD0A11" w:rsidRPr="007B5AF9" w:rsidRDefault="00FD0A11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0A11">
              <w:rPr>
                <w:rFonts w:ascii="Times New Roman" w:hAnsi="Times New Roman"/>
                <w:sz w:val="28"/>
                <w:szCs w:val="28"/>
                <w:lang w:eastAsia="ru-RU"/>
              </w:rPr>
              <w:t>на 2027 год</w:t>
            </w:r>
          </w:p>
        </w:tc>
        <w:tc>
          <w:tcPr>
            <w:tcW w:w="1404" w:type="pct"/>
          </w:tcPr>
          <w:p w14:paraId="7ABA915B" w14:textId="701660CA" w:rsidR="00FD0A11" w:rsidRDefault="00250218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0218">
              <w:rPr>
                <w:rFonts w:ascii="Times New Roman" w:hAnsi="Times New Roman"/>
                <w:sz w:val="28"/>
                <w:szCs w:val="28"/>
                <w:lang w:eastAsia="ru-RU"/>
              </w:rPr>
              <w:t>44 440,8</w:t>
            </w:r>
          </w:p>
        </w:tc>
      </w:tr>
      <w:tr w:rsidR="000C10FF" w:rsidRPr="007B5AF9" w14:paraId="51ED514A" w14:textId="77777777" w:rsidTr="000636D9">
        <w:tc>
          <w:tcPr>
            <w:tcW w:w="501" w:type="pct"/>
            <w:vMerge/>
          </w:tcPr>
          <w:p w14:paraId="325C169F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</w:tcPr>
          <w:p w14:paraId="11DC9234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</w:tcPr>
          <w:p w14:paraId="55E19075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14:paraId="496FC1DA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</w:tcPr>
          <w:p w14:paraId="5F6CB0DE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</w:tcPr>
          <w:p w14:paraId="67CA2B55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14:paraId="5E0F000E" w14:textId="77777777" w:rsidTr="000636D9">
        <w:tc>
          <w:tcPr>
            <w:tcW w:w="501" w:type="pct"/>
            <w:vMerge/>
          </w:tcPr>
          <w:p w14:paraId="185475ED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</w:tcPr>
          <w:p w14:paraId="7B3CCA1A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</w:tcPr>
          <w:p w14:paraId="662252CF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</w:tcPr>
          <w:p w14:paraId="4DCFC9B5" w14:textId="77777777"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</w:tcPr>
          <w:p w14:paraId="3779FDEB" w14:textId="77777777" w:rsidR="000C10FF" w:rsidRPr="007B5AF9" w:rsidRDefault="001A3282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14:paraId="67FBF911" w14:textId="77777777" w:rsidTr="000636D9">
        <w:tc>
          <w:tcPr>
            <w:tcW w:w="501" w:type="pct"/>
          </w:tcPr>
          <w:p w14:paraId="0081F135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</w:tcPr>
          <w:p w14:paraId="140F22BF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04" w:type="pct"/>
          </w:tcPr>
          <w:p w14:paraId="23B4BE79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14:paraId="0373D42B" w14:textId="77777777" w:rsidTr="000636D9">
        <w:tc>
          <w:tcPr>
            <w:tcW w:w="501" w:type="pct"/>
          </w:tcPr>
          <w:p w14:paraId="488EDFD9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</w:tcPr>
          <w:p w14:paraId="2C2E61BF" w14:textId="77777777" w:rsidR="00FD0A11" w:rsidRDefault="000C10FF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</w:t>
            </w:r>
            <w:r w:rsidR="00FD0A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период</w:t>
            </w:r>
          </w:p>
          <w:p w14:paraId="0A68B508" w14:textId="77777777" w:rsidR="000C10FF" w:rsidRPr="007B5AF9" w:rsidRDefault="001A3282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FD0A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="000C10FF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</w:tcPr>
          <w:p w14:paraId="6DF5A2CF" w14:textId="750BD88C" w:rsidR="000C10FF" w:rsidRPr="007B5AF9" w:rsidRDefault="00A0165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01659">
              <w:rPr>
                <w:rFonts w:ascii="Times New Roman" w:hAnsi="Times New Roman"/>
                <w:sz w:val="28"/>
                <w:szCs w:val="28"/>
                <w:lang w:eastAsia="ru-RU"/>
              </w:rPr>
              <w:t>19 952,77</w:t>
            </w:r>
          </w:p>
        </w:tc>
      </w:tr>
      <w:tr w:rsidR="000C10FF" w:rsidRPr="007B5AF9" w14:paraId="7A3E41A3" w14:textId="77777777" w:rsidTr="000636D9">
        <w:tc>
          <w:tcPr>
            <w:tcW w:w="501" w:type="pct"/>
          </w:tcPr>
          <w:p w14:paraId="0D9F1791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</w:tcPr>
          <w:p w14:paraId="2B57D405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</w:tcPr>
          <w:p w14:paraId="636D7C16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14:paraId="16CA976B" w14:textId="77777777" w:rsidTr="000636D9">
        <w:tc>
          <w:tcPr>
            <w:tcW w:w="501" w:type="pct"/>
          </w:tcPr>
          <w:p w14:paraId="41690EC3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</w:tcPr>
          <w:p w14:paraId="7668351D" w14:textId="77777777"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14:paraId="3CC72E28" w14:textId="77777777" w:rsidTr="000636D9">
        <w:tc>
          <w:tcPr>
            <w:tcW w:w="501" w:type="pct"/>
          </w:tcPr>
          <w:p w14:paraId="751F9D57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</w:tcPr>
          <w:p w14:paraId="58E3F8A8" w14:textId="77777777"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</w:t>
            </w:r>
            <w:r w:rsidR="00FD0A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CA2E3C" w:rsidRPr="00CA2E3C">
              <w:rPr>
                <w:rFonts w:ascii="Times New Roman" w:hAnsi="Times New Roman"/>
                <w:sz w:val="28"/>
                <w:szCs w:val="28"/>
                <w:lang w:eastAsia="ru-RU"/>
              </w:rPr>
              <w:t>23.12.2024 № 700-VII «О бюджете города Нефтеюганска на 2025 год и плановый период 2026 и 2027 годов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042884D" w14:textId="77777777" w:rsidR="00CA446E" w:rsidRPr="00303753" w:rsidRDefault="000C10FF" w:rsidP="00303753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3970"/>
        <w:gridCol w:w="2269"/>
        <w:gridCol w:w="1127"/>
      </w:tblGrid>
      <w:tr w:rsidR="000C10FF" w:rsidRPr="007B5AF9" w14:paraId="3FCA5303" w14:textId="77777777" w:rsidTr="008616EE">
        <w:tc>
          <w:tcPr>
            <w:tcW w:w="1059" w:type="pct"/>
          </w:tcPr>
          <w:p w14:paraId="5373CEA8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2124" w:type="pct"/>
          </w:tcPr>
          <w:p w14:paraId="1CCBF753" w14:textId="77777777"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214" w:type="pct"/>
          </w:tcPr>
          <w:p w14:paraId="57DBDB08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603" w:type="pct"/>
          </w:tcPr>
          <w:p w14:paraId="286E9E5F" w14:textId="77777777"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14:paraId="36BE5B88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(тыс.рублей)</w:t>
            </w:r>
          </w:p>
        </w:tc>
      </w:tr>
      <w:tr w:rsidR="000C10FF" w:rsidRPr="007B5AF9" w14:paraId="5AF25BAC" w14:textId="77777777" w:rsidTr="008616EE">
        <w:trPr>
          <w:trHeight w:val="192"/>
        </w:trPr>
        <w:tc>
          <w:tcPr>
            <w:tcW w:w="1059" w:type="pct"/>
          </w:tcPr>
          <w:p w14:paraId="4FDF756D" w14:textId="77777777"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(Группа участников отношений 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846F0" w:rsidRPr="00B03658">
              <w:rPr>
                <w:rFonts w:ascii="Times New Roman" w:eastAsia="Calibri" w:hAnsi="Times New Roman"/>
                <w:sz w:val="28"/>
                <w:szCs w:val="28"/>
              </w:rPr>
              <w:t>Юридические лица</w:t>
            </w:r>
            <w:r w:rsidR="007846F0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="007846F0" w:rsidRPr="007846F0">
              <w:rPr>
                <w:rFonts w:ascii="Times New Roman" w:eastAsia="Calibri" w:hAnsi="Times New Roman"/>
                <w:sz w:val="28"/>
                <w:szCs w:val="28"/>
              </w:rPr>
              <w:t>ресурсоснабжающ</w:t>
            </w:r>
            <w:r w:rsidR="007846F0">
              <w:rPr>
                <w:rFonts w:ascii="Times New Roman" w:eastAsia="Calibri" w:hAnsi="Times New Roman"/>
                <w:sz w:val="28"/>
                <w:szCs w:val="28"/>
              </w:rPr>
              <w:t>ии</w:t>
            </w:r>
            <w:r w:rsidR="007846F0" w:rsidRPr="007846F0">
              <w:rPr>
                <w:rFonts w:ascii="Times New Roman" w:eastAsia="Calibri" w:hAnsi="Times New Roman"/>
                <w:sz w:val="28"/>
                <w:szCs w:val="28"/>
              </w:rPr>
              <w:t xml:space="preserve"> организаци</w:t>
            </w:r>
            <w:r w:rsidR="007846F0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7846F0" w:rsidRPr="007846F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7846F0" w:rsidRPr="00356843">
              <w:rPr>
                <w:rFonts w:ascii="Times New Roman" w:eastAsia="Calibri" w:hAnsi="Times New Roman"/>
                <w:sz w:val="28"/>
                <w:szCs w:val="28"/>
              </w:rPr>
              <w:t>оказывающ</w:t>
            </w:r>
            <w:r w:rsidR="007846F0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7846F0" w:rsidRPr="00356843">
              <w:rPr>
                <w:rFonts w:ascii="Times New Roman" w:eastAsia="Calibri" w:hAnsi="Times New Roman"/>
                <w:sz w:val="28"/>
                <w:szCs w:val="28"/>
              </w:rPr>
              <w:t xml:space="preserve">е услуги теплоснабжения, водоснабжения и </w:t>
            </w:r>
            <w:r w:rsidR="007846F0" w:rsidRPr="00356843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водоотведения</w:t>
            </w:r>
          </w:p>
        </w:tc>
        <w:tc>
          <w:tcPr>
            <w:tcW w:w="2124" w:type="pct"/>
          </w:tcPr>
          <w:p w14:paraId="4C30EF30" w14:textId="77777777" w:rsidR="002D6A9E" w:rsidRPr="002D6A9E" w:rsidRDefault="002D6A9E" w:rsidP="002D6A9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A9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14:paraId="0C54EFAA" w14:textId="77777777" w:rsidR="002D6A9E" w:rsidRPr="002D6A9E" w:rsidRDefault="002D6A9E" w:rsidP="002D6A9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D6A9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</w:t>
            </w:r>
            <w:r w:rsidRPr="002D6A9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14:paraId="1A9610C4" w14:textId="42B9697B" w:rsidR="00341EE0" w:rsidRPr="007B5AF9" w:rsidRDefault="002D6A9E" w:rsidP="002D6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6A9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</w:t>
            </w:r>
            <w:r w:rsidR="009265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14" w:type="pct"/>
          </w:tcPr>
          <w:p w14:paraId="0A0DF87D" w14:textId="3B1683B8" w:rsidR="000C10FF" w:rsidRPr="0028422D" w:rsidRDefault="00341EE0" w:rsidP="001A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города Нефтеюганска </w:t>
            </w:r>
            <w:r w:rsidR="005B2AC7" w:rsidRPr="005B2AC7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Об утверждении порядка предоставления субсидии из бюджета города Нефтеюганска на </w:t>
            </w:r>
            <w:r w:rsidR="008616EE" w:rsidRPr="008616EE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финансовое обеспечение затрат АО «Югансктранстеплосервис», АО </w:t>
            </w:r>
            <w:r w:rsidR="008616EE" w:rsidRPr="008616EE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lastRenderedPageBreak/>
              <w:t>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      </w:r>
          </w:p>
        </w:tc>
        <w:tc>
          <w:tcPr>
            <w:tcW w:w="603" w:type="pct"/>
          </w:tcPr>
          <w:p w14:paraId="5502793F" w14:textId="53EFC242" w:rsidR="000C10FF" w:rsidRPr="0028422D" w:rsidRDefault="002927B8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7,22989</w:t>
            </w:r>
          </w:p>
        </w:tc>
      </w:tr>
    </w:tbl>
    <w:p w14:paraId="1EB3C402" w14:textId="77777777" w:rsidR="009D61A7" w:rsidRDefault="009D61A7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1733121" w14:textId="77777777"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612"/>
        <w:gridCol w:w="2103"/>
        <w:gridCol w:w="2531"/>
        <w:gridCol w:w="2321"/>
      </w:tblGrid>
      <w:tr w:rsidR="000C10FF" w:rsidRPr="007B5AF9" w14:paraId="3D1BC2A3" w14:textId="77777777" w:rsidTr="00236118">
        <w:tc>
          <w:tcPr>
            <w:tcW w:w="1279" w:type="pct"/>
            <w:gridSpan w:val="2"/>
          </w:tcPr>
          <w:p w14:paraId="6B30A5DD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25" w:type="pct"/>
          </w:tcPr>
          <w:p w14:paraId="4457F842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вероятности наступления рисков</w:t>
            </w:r>
          </w:p>
        </w:tc>
        <w:tc>
          <w:tcPr>
            <w:tcW w:w="1354" w:type="pct"/>
          </w:tcPr>
          <w:p w14:paraId="7DDBE83F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2" w:type="pct"/>
          </w:tcPr>
          <w:p w14:paraId="7869A4C8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14:paraId="07E37C14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36118" w:rsidRPr="007B5AF9" w14:paraId="564F13ED" w14:textId="77777777" w:rsidTr="00236118">
        <w:tc>
          <w:tcPr>
            <w:tcW w:w="1279" w:type="pct"/>
            <w:gridSpan w:val="2"/>
          </w:tcPr>
          <w:p w14:paraId="0F4F2C04" w14:textId="2019C741" w:rsidR="00FE0128" w:rsidRPr="00FE0128" w:rsidRDefault="00236118" w:rsidP="00FE0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Риск 1.</w:t>
            </w:r>
            <w:r w:rsidR="00FE0128">
              <w:t xml:space="preserve"> </w:t>
            </w:r>
            <w:r w:rsidR="00FE0128" w:rsidRPr="00FE0128">
              <w:rPr>
                <w:rFonts w:ascii="Times New Roman" w:hAnsi="Times New Roman"/>
                <w:sz w:val="28"/>
                <w:szCs w:val="28"/>
                <w:lang w:eastAsia="ru-RU"/>
              </w:rPr>
              <w:t>Недостоверность представленной</w:t>
            </w:r>
          </w:p>
          <w:p w14:paraId="6B584E79" w14:textId="77777777" w:rsidR="00FE0128" w:rsidRPr="00FE0128" w:rsidRDefault="00FE0128" w:rsidP="00FE0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128"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получателем</w:t>
            </w:r>
          </w:p>
          <w:p w14:paraId="35C75A90" w14:textId="77777777" w:rsidR="00FE0128" w:rsidRPr="00FE0128" w:rsidRDefault="00FE0128" w:rsidP="00FE0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128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</w:t>
            </w:r>
          </w:p>
          <w:p w14:paraId="6D06C9F8" w14:textId="3BEA21A7" w:rsidR="00236118" w:rsidRPr="00236118" w:rsidRDefault="00FE0128" w:rsidP="00FE0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128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информации</w:t>
            </w:r>
          </w:p>
        </w:tc>
        <w:tc>
          <w:tcPr>
            <w:tcW w:w="1125" w:type="pct"/>
          </w:tcPr>
          <w:p w14:paraId="387F185E" w14:textId="77777777" w:rsidR="00236118" w:rsidRPr="00236118" w:rsidRDefault="00236118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Низкая</w:t>
            </w:r>
          </w:p>
        </w:tc>
        <w:tc>
          <w:tcPr>
            <w:tcW w:w="1354" w:type="pct"/>
          </w:tcPr>
          <w:p w14:paraId="7ED6AFED" w14:textId="7C40D1A2" w:rsidR="00236118" w:rsidRPr="00236118" w:rsidRDefault="00FE0128" w:rsidP="00FE0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01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Проверка департаментом ЖКХ и органом муниципального финансового контроля соблюдения получателем субсидии порядка и условий предоставления </w:t>
            </w:r>
            <w:r w:rsidRPr="00FE012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субсидии, в том числе в части достижения результатов</w:t>
            </w:r>
          </w:p>
        </w:tc>
        <w:tc>
          <w:tcPr>
            <w:tcW w:w="1242" w:type="pct"/>
          </w:tcPr>
          <w:p w14:paraId="0D2818E0" w14:textId="77777777" w:rsidR="00236118" w:rsidRPr="007B5AF9" w:rsidRDefault="00236118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Высокая</w:t>
            </w:r>
          </w:p>
        </w:tc>
      </w:tr>
      <w:tr w:rsidR="000C10FF" w:rsidRPr="007B5AF9" w14:paraId="27C9211C" w14:textId="77777777" w:rsidTr="00CA2E3C">
        <w:tc>
          <w:tcPr>
            <w:tcW w:w="416" w:type="pct"/>
          </w:tcPr>
          <w:p w14:paraId="5E45E416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84" w:type="pct"/>
            <w:gridSpan w:val="4"/>
          </w:tcPr>
          <w:p w14:paraId="5ABA5C14" w14:textId="77777777" w:rsidR="005867D7" w:rsidRPr="005867D7" w:rsidRDefault="000C10FF" w:rsidP="005867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867D7" w:rsidRPr="005867D7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субсидий»;</w:t>
            </w:r>
          </w:p>
          <w:p w14:paraId="3A4C0C57" w14:textId="403E4EDE" w:rsidR="0004229C" w:rsidRDefault="005867D7" w:rsidP="005867D7">
            <w:pPr>
              <w:spacing w:after="0" w:line="240" w:lineRule="auto"/>
              <w:jc w:val="both"/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</w:pPr>
            <w:r w:rsidRPr="005867D7">
              <w:rPr>
                <w:rFonts w:ascii="Times New Roman" w:hAnsi="Times New Roman"/>
                <w:sz w:val="28"/>
                <w:szCs w:val="28"/>
                <w:lang w:eastAsia="ru-RU"/>
              </w:rPr>
              <w:t>-приказ департамента финансов администрации города Нефтеюганска от 01.02.2023 № 7-нп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лицам-производителям товаров, работ, услуг, иным некоммерческим организациям, не являющимися муниципальными учреждениями»</w:t>
            </w:r>
            <w:r w:rsidR="0004229C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.</w:t>
            </w:r>
          </w:p>
          <w:p w14:paraId="1282321C" w14:textId="77777777" w:rsidR="000C10FF" w:rsidRPr="007B5AF9" w:rsidRDefault="00D91C8A" w:rsidP="00EC5B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91C8A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</w:t>
            </w:r>
          </w:p>
        </w:tc>
      </w:tr>
    </w:tbl>
    <w:p w14:paraId="6A07E6D7" w14:textId="77777777" w:rsidR="000C10FF" w:rsidRPr="00303753" w:rsidRDefault="000C10FF" w:rsidP="00CA446E">
      <w:pPr>
        <w:pStyle w:val="a3"/>
        <w:rPr>
          <w:sz w:val="18"/>
        </w:rPr>
      </w:pPr>
    </w:p>
    <w:p w14:paraId="4C2FC4BC" w14:textId="77777777" w:rsidR="009D61A7" w:rsidRDefault="009D61A7" w:rsidP="000C10FF">
      <w:pPr>
        <w:pStyle w:val="a3"/>
        <w:jc w:val="center"/>
      </w:pPr>
    </w:p>
    <w:p w14:paraId="5F9B3916" w14:textId="77777777" w:rsidR="009D61A7" w:rsidRDefault="009D61A7" w:rsidP="000C10FF">
      <w:pPr>
        <w:pStyle w:val="a3"/>
        <w:jc w:val="center"/>
      </w:pPr>
    </w:p>
    <w:p w14:paraId="60E9E432" w14:textId="77777777" w:rsidR="009D61A7" w:rsidRDefault="009D61A7" w:rsidP="000C10FF">
      <w:pPr>
        <w:pStyle w:val="a3"/>
        <w:jc w:val="center"/>
      </w:pPr>
    </w:p>
    <w:p w14:paraId="07E43EE4" w14:textId="77777777" w:rsidR="009D61A7" w:rsidRDefault="009D61A7" w:rsidP="000C10FF">
      <w:pPr>
        <w:pStyle w:val="a3"/>
        <w:jc w:val="center"/>
      </w:pPr>
    </w:p>
    <w:p w14:paraId="5A4D5372" w14:textId="77777777" w:rsidR="009D61A7" w:rsidRDefault="009D61A7" w:rsidP="000C10FF">
      <w:pPr>
        <w:pStyle w:val="a3"/>
        <w:jc w:val="center"/>
      </w:pPr>
    </w:p>
    <w:p w14:paraId="6387131B" w14:textId="77777777" w:rsidR="009D61A7" w:rsidRDefault="009D61A7" w:rsidP="000C10FF">
      <w:pPr>
        <w:pStyle w:val="a3"/>
        <w:jc w:val="center"/>
      </w:pPr>
    </w:p>
    <w:p w14:paraId="4FF4D2B7" w14:textId="77777777" w:rsidR="009D61A7" w:rsidRDefault="009D61A7" w:rsidP="000C10FF">
      <w:pPr>
        <w:pStyle w:val="a3"/>
        <w:jc w:val="center"/>
      </w:pPr>
    </w:p>
    <w:p w14:paraId="7E44A37F" w14:textId="77777777" w:rsidR="009D61A7" w:rsidRDefault="009D61A7" w:rsidP="000C10FF">
      <w:pPr>
        <w:pStyle w:val="a3"/>
        <w:jc w:val="center"/>
      </w:pPr>
    </w:p>
    <w:p w14:paraId="2A414A5B" w14:textId="77777777" w:rsidR="009D61A7" w:rsidRDefault="009D61A7" w:rsidP="000C10FF">
      <w:pPr>
        <w:pStyle w:val="a3"/>
        <w:jc w:val="center"/>
      </w:pPr>
    </w:p>
    <w:p w14:paraId="25CE4B6B" w14:textId="77777777" w:rsidR="009D61A7" w:rsidRDefault="009D61A7" w:rsidP="000C10FF">
      <w:pPr>
        <w:pStyle w:val="a3"/>
        <w:jc w:val="center"/>
      </w:pPr>
    </w:p>
    <w:p w14:paraId="763010D9" w14:textId="77777777" w:rsidR="009D61A7" w:rsidRDefault="009D61A7" w:rsidP="000C10FF">
      <w:pPr>
        <w:pStyle w:val="a3"/>
        <w:jc w:val="center"/>
      </w:pPr>
    </w:p>
    <w:p w14:paraId="2D0351E4" w14:textId="77777777" w:rsidR="000C10FF" w:rsidRDefault="000C10FF" w:rsidP="000C10F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14:paraId="73695172" w14:textId="77777777" w:rsidR="000C10FF" w:rsidRPr="00303753" w:rsidRDefault="000C10FF" w:rsidP="000C10FF">
      <w:pPr>
        <w:pStyle w:val="a3"/>
        <w:rPr>
          <w:sz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2049"/>
        <w:gridCol w:w="2062"/>
        <w:gridCol w:w="634"/>
        <w:gridCol w:w="1318"/>
        <w:gridCol w:w="2505"/>
      </w:tblGrid>
      <w:tr w:rsidR="000C10FF" w:rsidRPr="007B5AF9" w14:paraId="2C139A34" w14:textId="77777777" w:rsidTr="00804776">
        <w:tc>
          <w:tcPr>
            <w:tcW w:w="1590" w:type="pct"/>
            <w:gridSpan w:val="2"/>
          </w:tcPr>
          <w:p w14:paraId="2A667668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14:paraId="37D92E27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87" w:type="pct"/>
          </w:tcPr>
          <w:p w14:paraId="21CC54C1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14:paraId="36DC27A3" w14:textId="77777777"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14:paraId="36E9628B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044" w:type="pct"/>
            <w:gridSpan w:val="2"/>
          </w:tcPr>
          <w:p w14:paraId="32764F88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14:paraId="7FD5D07F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79" w:type="pct"/>
          </w:tcPr>
          <w:p w14:paraId="48AC8BE7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14:paraId="1E7FE8D3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 расчета индикативных показателей</w:t>
            </w:r>
          </w:p>
        </w:tc>
      </w:tr>
      <w:tr w:rsidR="000C10FF" w:rsidRPr="007B5AF9" w14:paraId="4340BBC1" w14:textId="77777777" w:rsidTr="00804776">
        <w:trPr>
          <w:trHeight w:val="330"/>
        </w:trPr>
        <w:tc>
          <w:tcPr>
            <w:tcW w:w="1590" w:type="pct"/>
            <w:gridSpan w:val="2"/>
          </w:tcPr>
          <w:p w14:paraId="7BE857AC" w14:textId="29B8FDB3" w:rsidR="000841DF" w:rsidRPr="00141BEC" w:rsidRDefault="00141BEC" w:rsidP="000841D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141BEC">
              <w:rPr>
                <w:rFonts w:ascii="Times New Roman" w:eastAsia="Calibri" w:hAnsi="Times New Roman"/>
                <w:sz w:val="28"/>
                <w:szCs w:val="28"/>
              </w:rPr>
              <w:t xml:space="preserve">Цель 1. - </w:t>
            </w:r>
            <w:r w:rsidR="000841DF" w:rsidRPr="000841DF">
              <w:rPr>
                <w:rFonts w:ascii="Times New Roman" w:eastAsia="Calibri" w:hAnsi="Times New Roman"/>
                <w:sz w:val="28"/>
                <w:szCs w:val="28"/>
              </w:rPr>
              <w:t xml:space="preserve">целью предоставления субсидии является снижение </w:t>
            </w:r>
            <w:r w:rsidR="000841DF" w:rsidRPr="000841D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просроченной кредиторской задолженности за потребленные топливно-энергетические ресурсы (электрическая энергия, газ).</w:t>
            </w:r>
          </w:p>
          <w:p w14:paraId="72994215" w14:textId="7FCCFAF9" w:rsidR="000C10FF" w:rsidRPr="00386769" w:rsidRDefault="000C10FF" w:rsidP="00141BE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87" w:type="pct"/>
          </w:tcPr>
          <w:p w14:paraId="53D9B55E" w14:textId="77777777" w:rsidR="00B84C7C" w:rsidRDefault="00FD0A11" w:rsidP="00141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D0A11">
              <w:rPr>
                <w:rFonts w:ascii="Times New Roman" w:hAnsi="Times New Roman"/>
                <w:sz w:val="28"/>
              </w:rPr>
              <w:lastRenderedPageBreak/>
              <w:t xml:space="preserve">2025- </w:t>
            </w:r>
            <w:r w:rsidR="00B84C7C">
              <w:rPr>
                <w:rFonts w:ascii="Times New Roman" w:hAnsi="Times New Roman"/>
                <w:sz w:val="28"/>
              </w:rPr>
              <w:t>100%</w:t>
            </w:r>
          </w:p>
          <w:p w14:paraId="1497D663" w14:textId="77777777" w:rsidR="00B84C7C" w:rsidRDefault="00B84C7C" w:rsidP="00141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D0A11">
              <w:rPr>
                <w:rFonts w:ascii="Times New Roman" w:hAnsi="Times New Roman"/>
                <w:sz w:val="28"/>
              </w:rPr>
              <w:t>2026- 100%  2027- 100%</w:t>
            </w:r>
          </w:p>
          <w:p w14:paraId="7084D9A3" w14:textId="384BFB31" w:rsidR="00FD0A11" w:rsidRPr="00FD0A11" w:rsidRDefault="00B84C7C" w:rsidP="00141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отсутствие </w:t>
            </w:r>
            <w:r w:rsidRPr="00B84C7C">
              <w:rPr>
                <w:rFonts w:ascii="Times New Roman" w:hAnsi="Times New Roman"/>
                <w:sz w:val="28"/>
              </w:rPr>
              <w:t>просроченной кредиторской задолженности за потребленные топливно-энергетические ресурсы (электрическая энергия, газ)</w:t>
            </w:r>
          </w:p>
          <w:p w14:paraId="339E317C" w14:textId="10F01142" w:rsidR="000C10FF" w:rsidRPr="007B5AF9" w:rsidRDefault="000C10FF" w:rsidP="00141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44" w:type="pct"/>
            <w:gridSpan w:val="2"/>
          </w:tcPr>
          <w:p w14:paraId="56DD31D8" w14:textId="77777777"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</w:t>
            </w:r>
            <w:r w:rsidR="00752526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оцент, %</w:t>
            </w:r>
          </w:p>
        </w:tc>
        <w:tc>
          <w:tcPr>
            <w:tcW w:w="1379" w:type="pct"/>
          </w:tcPr>
          <w:p w14:paraId="7ECE1676" w14:textId="77777777"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Данные из постановления администрации от </w:t>
            </w: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15.11.2018 № 605-п</w:t>
            </w:r>
          </w:p>
        </w:tc>
      </w:tr>
      <w:tr w:rsidR="000C10FF" w:rsidRPr="007B5AF9" w14:paraId="1065F043" w14:textId="77777777" w:rsidTr="00804776">
        <w:tc>
          <w:tcPr>
            <w:tcW w:w="416" w:type="pct"/>
          </w:tcPr>
          <w:p w14:paraId="256FC3F1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84" w:type="pct"/>
            <w:gridSpan w:val="5"/>
          </w:tcPr>
          <w:p w14:paraId="4BBCAC72" w14:textId="77777777" w:rsidR="00804776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14:paraId="52B032B7" w14:textId="77777777" w:rsidR="00B84C7C" w:rsidRDefault="00B84C7C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4C7C">
              <w:rPr>
                <w:rFonts w:ascii="Times New Roman" w:hAnsi="Times New Roman"/>
                <w:sz w:val="28"/>
              </w:rPr>
              <w:t>Предоставление в срок не позднее 10 рабочих дней, следующих за днем получения субсидии, предоставляет в департамент ЖКХ</w:t>
            </w:r>
            <w:r>
              <w:rPr>
                <w:rFonts w:ascii="Times New Roman" w:hAnsi="Times New Roman"/>
                <w:sz w:val="28"/>
              </w:rPr>
              <w:t>:</w:t>
            </w:r>
          </w:p>
          <w:p w14:paraId="39CCD743" w14:textId="77777777" w:rsidR="00B84C7C" w:rsidRDefault="00B84C7C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Pr="00B84C7C">
              <w:rPr>
                <w:rFonts w:ascii="Times New Roman" w:hAnsi="Times New Roman"/>
                <w:sz w:val="28"/>
              </w:rPr>
              <w:t>отчет о реализации плана мероприятий по достижению результатов предоставления субсидии (контрольных точек)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0AD6C4C4" w14:textId="77777777" w:rsidR="00B84C7C" w:rsidRDefault="00B84C7C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Pr="00B84C7C">
              <w:rPr>
                <w:rFonts w:ascii="Times New Roman" w:hAnsi="Times New Roman"/>
                <w:sz w:val="28"/>
              </w:rPr>
              <w:t>отчет о достижении значений результатов предоставления субсидии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61AE85AB" w14:textId="77777777" w:rsidR="00B84C7C" w:rsidRDefault="00B84C7C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4C7C">
              <w:rPr>
                <w:rFonts w:ascii="Times New Roman" w:hAnsi="Times New Roman"/>
                <w:sz w:val="28"/>
                <w:szCs w:val="28"/>
              </w:rPr>
              <w:t>-отчет</w:t>
            </w:r>
            <w:r w:rsidRPr="00B84C7C">
              <w:rPr>
                <w:rFonts w:ascii="Times New Roman" w:hAnsi="Times New Roman"/>
                <w:sz w:val="28"/>
              </w:rPr>
              <w:t xml:space="preserve"> об использовании субсидии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487D77B3" w14:textId="5F860634" w:rsidR="000C10FF" w:rsidRPr="007B5AF9" w:rsidRDefault="00B84C7C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4C7C">
              <w:rPr>
                <w:rFonts w:ascii="Times New Roman" w:hAnsi="Times New Roman"/>
                <w:sz w:val="28"/>
              </w:rPr>
              <w:t>по форм</w:t>
            </w:r>
            <w:r>
              <w:rPr>
                <w:rFonts w:ascii="Times New Roman" w:hAnsi="Times New Roman"/>
                <w:sz w:val="28"/>
              </w:rPr>
              <w:t>е</w:t>
            </w:r>
            <w:r w:rsidRPr="00B84C7C">
              <w:rPr>
                <w:rFonts w:ascii="Times New Roman" w:hAnsi="Times New Roman"/>
                <w:sz w:val="28"/>
              </w:rPr>
              <w:t>, определенной Соглашением.</w:t>
            </w:r>
          </w:p>
        </w:tc>
      </w:tr>
      <w:tr w:rsidR="000C10FF" w:rsidRPr="007B5AF9" w14:paraId="059BEB0E" w14:textId="77777777" w:rsidTr="00804776">
        <w:tc>
          <w:tcPr>
            <w:tcW w:w="416" w:type="pct"/>
          </w:tcPr>
          <w:p w14:paraId="31BEF2D6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500" w:type="pct"/>
            <w:gridSpan w:val="3"/>
          </w:tcPr>
          <w:p w14:paraId="0576D3F0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2084" w:type="pct"/>
            <w:gridSpan w:val="2"/>
          </w:tcPr>
          <w:p w14:paraId="3AAD49A6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4EF2645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0C10FF" w:rsidRPr="007B5AF9" w14:paraId="60977066" w14:textId="77777777" w:rsidTr="00804776">
        <w:tc>
          <w:tcPr>
            <w:tcW w:w="416" w:type="pct"/>
          </w:tcPr>
          <w:p w14:paraId="49951E39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84" w:type="pct"/>
            <w:gridSpan w:val="5"/>
          </w:tcPr>
          <w:p w14:paraId="78B55C00" w14:textId="77777777"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14:paraId="2CBFD166" w14:textId="77777777" w:rsidR="000C10FF" w:rsidRDefault="000C10FF" w:rsidP="000C10FF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7B5AF9" w14:paraId="1958CB47" w14:textId="77777777" w:rsidTr="00E32672">
        <w:tc>
          <w:tcPr>
            <w:tcW w:w="406" w:type="pct"/>
          </w:tcPr>
          <w:p w14:paraId="55D0EF73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</w:tcPr>
          <w:p w14:paraId="4B7EEDDC" w14:textId="77777777"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</w:tcPr>
          <w:p w14:paraId="5F77FE04" w14:textId="77777777" w:rsidR="000C10FF" w:rsidRPr="007B5AF9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ступает в силу после его официального опубликования и распространяет свое действие на правоотношения, возникшие с 01.01.202</w:t>
            </w:r>
            <w:r w:rsidR="00CA2E3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года.</w:t>
            </w:r>
          </w:p>
        </w:tc>
      </w:tr>
      <w:tr w:rsidR="000C10FF" w:rsidRPr="007B5AF9" w14:paraId="7712C88C" w14:textId="77777777" w:rsidTr="00E32672">
        <w:tc>
          <w:tcPr>
            <w:tcW w:w="406" w:type="pct"/>
          </w:tcPr>
          <w:p w14:paraId="7E7B24E0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</w:tcPr>
          <w:p w14:paraId="5542AD85" w14:textId="77777777"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14:paraId="7A07A2CD" w14:textId="77777777"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14:paraId="11FD8A5C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</w:tcPr>
          <w:p w14:paraId="46B1B6E0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</w:tcPr>
          <w:p w14:paraId="2AC185D8" w14:textId="77777777"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14:paraId="5D387A78" w14:textId="77777777"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14:paraId="5ABF46FA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14:paraId="7EE4E39A" w14:textId="77777777" w:rsidTr="00E32672">
        <w:tc>
          <w:tcPr>
            <w:tcW w:w="406" w:type="pct"/>
          </w:tcPr>
          <w:p w14:paraId="26A499FF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</w:tcPr>
          <w:p w14:paraId="13B49E49" w14:textId="77777777"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Необходимость внесения изменений в действующие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муниципальные нормативные правовые акты:</w:t>
            </w:r>
          </w:p>
          <w:p w14:paraId="13291769" w14:textId="77777777"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(есть /нет)</w:t>
            </w:r>
          </w:p>
          <w:p w14:paraId="2A73D629" w14:textId="77777777"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14:paraId="38EBB385" w14:textId="77777777"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14:paraId="4552B9E0" w14:textId="77777777"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</w:tcPr>
          <w:p w14:paraId="11B1A7EF" w14:textId="77777777"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13.5.</w:t>
            </w:r>
          </w:p>
        </w:tc>
        <w:tc>
          <w:tcPr>
            <w:tcW w:w="1902" w:type="pct"/>
          </w:tcPr>
          <w:p w14:paraId="67844254" w14:textId="77777777"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Срок разработки соответствующих проектов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муниципальных нормативных правовых актов (если есть необходимость):</w:t>
            </w:r>
          </w:p>
          <w:p w14:paraId="57F18DCB" w14:textId="77777777"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14:paraId="68D9998F" w14:textId="77777777"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14:paraId="2DFC974A" w14:textId="77777777"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14:paraId="32987F39" w14:textId="77777777" w:rsidTr="007A7DE3">
        <w:tc>
          <w:tcPr>
            <w:tcW w:w="2642" w:type="pct"/>
            <w:vAlign w:val="bottom"/>
          </w:tcPr>
          <w:p w14:paraId="4E44AD9A" w14:textId="77777777"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14:paraId="3BC4BDDE" w14:textId="77777777" w:rsidR="000C10FF" w:rsidRPr="007B5AF9" w:rsidRDefault="00D7770B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В.Г.Каширский</w:t>
            </w:r>
          </w:p>
          <w:p w14:paraId="05B4CE16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vAlign w:val="bottom"/>
          </w:tcPr>
          <w:p w14:paraId="0452CCB5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8" w:type="pct"/>
            <w:vAlign w:val="bottom"/>
          </w:tcPr>
          <w:p w14:paraId="7783DD65" w14:textId="77777777"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8D15AE3" w14:textId="77777777"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14:paraId="1F556F7F" w14:textId="77777777" w:rsidR="007A7DE3" w:rsidRDefault="007A7DE3" w:rsidP="007A7DE3">
      <w:pPr>
        <w:spacing w:after="0"/>
        <w:rPr>
          <w:rFonts w:ascii="Times New Roman" w:hAnsi="Times New Roman"/>
        </w:rPr>
      </w:pPr>
    </w:p>
    <w:p w14:paraId="6F8C3763" w14:textId="77777777" w:rsidR="00B84C7C" w:rsidRDefault="00B84C7C" w:rsidP="007A7DE3">
      <w:pPr>
        <w:spacing w:after="0"/>
        <w:rPr>
          <w:rFonts w:ascii="Times New Roman" w:hAnsi="Times New Roman"/>
        </w:rPr>
      </w:pPr>
    </w:p>
    <w:p w14:paraId="35C93146" w14:textId="77777777" w:rsidR="00B84C7C" w:rsidRDefault="00B84C7C" w:rsidP="007A7DE3">
      <w:pPr>
        <w:spacing w:after="0"/>
        <w:rPr>
          <w:rFonts w:ascii="Times New Roman" w:hAnsi="Times New Roman"/>
        </w:rPr>
      </w:pPr>
    </w:p>
    <w:p w14:paraId="3913E59B" w14:textId="77777777" w:rsidR="00B84C7C" w:rsidRDefault="00B84C7C" w:rsidP="007A7DE3">
      <w:pPr>
        <w:spacing w:after="0"/>
        <w:rPr>
          <w:rFonts w:ascii="Times New Roman" w:hAnsi="Times New Roman"/>
        </w:rPr>
      </w:pPr>
    </w:p>
    <w:p w14:paraId="2D73EFE1" w14:textId="77777777" w:rsidR="00B84C7C" w:rsidRDefault="00B84C7C" w:rsidP="007A7DE3">
      <w:pPr>
        <w:spacing w:after="0"/>
        <w:rPr>
          <w:rFonts w:ascii="Times New Roman" w:hAnsi="Times New Roman"/>
        </w:rPr>
      </w:pPr>
    </w:p>
    <w:p w14:paraId="79A09AE1" w14:textId="77777777" w:rsidR="00B84C7C" w:rsidRDefault="00B84C7C" w:rsidP="007A7DE3">
      <w:pPr>
        <w:spacing w:after="0"/>
        <w:rPr>
          <w:rFonts w:ascii="Times New Roman" w:hAnsi="Times New Roman"/>
        </w:rPr>
      </w:pPr>
    </w:p>
    <w:p w14:paraId="5FB144A5" w14:textId="77777777" w:rsidR="00B84C7C" w:rsidRDefault="00B84C7C" w:rsidP="007A7DE3">
      <w:pPr>
        <w:spacing w:after="0"/>
        <w:rPr>
          <w:rFonts w:ascii="Times New Roman" w:hAnsi="Times New Roman"/>
        </w:rPr>
      </w:pPr>
    </w:p>
    <w:p w14:paraId="4CA60B8E" w14:textId="77777777" w:rsidR="00B84C7C" w:rsidRDefault="00B84C7C" w:rsidP="007A7DE3">
      <w:pPr>
        <w:spacing w:after="0"/>
        <w:rPr>
          <w:rFonts w:ascii="Times New Roman" w:hAnsi="Times New Roman"/>
        </w:rPr>
      </w:pPr>
    </w:p>
    <w:p w14:paraId="02931401" w14:textId="77777777" w:rsidR="00B84C7C" w:rsidRDefault="00B84C7C" w:rsidP="007A7DE3">
      <w:pPr>
        <w:spacing w:after="0"/>
        <w:rPr>
          <w:rFonts w:ascii="Times New Roman" w:hAnsi="Times New Roman"/>
        </w:rPr>
      </w:pPr>
    </w:p>
    <w:p w14:paraId="5E32B3F1" w14:textId="77777777" w:rsidR="00B84C7C" w:rsidRDefault="00B84C7C" w:rsidP="007A7DE3">
      <w:pPr>
        <w:spacing w:after="0"/>
        <w:rPr>
          <w:rFonts w:ascii="Times New Roman" w:hAnsi="Times New Roman"/>
        </w:rPr>
      </w:pPr>
    </w:p>
    <w:p w14:paraId="2BA3210C" w14:textId="77777777" w:rsidR="009D61A7" w:rsidRDefault="009D61A7" w:rsidP="007A7DE3">
      <w:pPr>
        <w:spacing w:after="0"/>
        <w:rPr>
          <w:rFonts w:ascii="Times New Roman" w:hAnsi="Times New Roman"/>
        </w:rPr>
      </w:pPr>
    </w:p>
    <w:p w14:paraId="2C378EE5" w14:textId="2A92BB3A" w:rsidR="007A7DE3" w:rsidRPr="009D61A7" w:rsidRDefault="00B84C7C" w:rsidP="009D61A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А.И.Слышанс</w:t>
      </w:r>
    </w:p>
    <w:p w14:paraId="6A71B03F" w14:textId="318D67CB" w:rsidR="007A7DE3" w:rsidRPr="009D61A7" w:rsidRDefault="00B84C7C" w:rsidP="009D61A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Начальник</w:t>
      </w:r>
      <w:r w:rsidR="007A7DE3" w:rsidRPr="009D61A7">
        <w:rPr>
          <w:rFonts w:ascii="Times New Roman" w:hAnsi="Times New Roman"/>
          <w:sz w:val="20"/>
          <w:szCs w:val="20"/>
        </w:rPr>
        <w:t xml:space="preserve"> отдела экономической </w:t>
      </w:r>
    </w:p>
    <w:p w14:paraId="26833E8D" w14:textId="77777777" w:rsidR="007A7DE3" w:rsidRPr="009D61A7" w:rsidRDefault="007A7DE3" w:rsidP="009D61A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D61A7">
        <w:rPr>
          <w:rFonts w:ascii="Times New Roman" w:hAnsi="Times New Roman"/>
          <w:sz w:val="20"/>
          <w:szCs w:val="20"/>
        </w:rPr>
        <w:t>политики и мониторинга департамента ЖКХ</w:t>
      </w:r>
    </w:p>
    <w:p w14:paraId="14035CA6" w14:textId="77777777" w:rsidR="00D920C2" w:rsidRPr="009D61A7" w:rsidRDefault="007A7DE3" w:rsidP="009D61A7">
      <w:pPr>
        <w:spacing w:after="0" w:line="240" w:lineRule="auto"/>
        <w:rPr>
          <w:sz w:val="20"/>
          <w:szCs w:val="20"/>
        </w:rPr>
      </w:pPr>
      <w:r w:rsidRPr="009D61A7">
        <w:rPr>
          <w:rFonts w:ascii="Times New Roman" w:hAnsi="Times New Roman"/>
          <w:sz w:val="20"/>
          <w:szCs w:val="20"/>
        </w:rPr>
        <w:t>Тел.: 23 77 49</w:t>
      </w:r>
    </w:p>
    <w:sectPr w:rsidR="00D920C2" w:rsidRPr="009D61A7" w:rsidSect="009D61A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69565" w14:textId="77777777" w:rsidR="00271CB4" w:rsidRDefault="00271CB4" w:rsidP="000C10FF">
      <w:pPr>
        <w:spacing w:after="0" w:line="240" w:lineRule="auto"/>
      </w:pPr>
      <w:r>
        <w:separator/>
      </w:r>
    </w:p>
  </w:endnote>
  <w:endnote w:type="continuationSeparator" w:id="0">
    <w:p w14:paraId="2CC89DE8" w14:textId="77777777" w:rsidR="00271CB4" w:rsidRDefault="00271CB4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1D79C" w14:textId="77777777" w:rsidR="00271CB4" w:rsidRDefault="00271CB4" w:rsidP="000C10FF">
      <w:pPr>
        <w:spacing w:after="0" w:line="240" w:lineRule="auto"/>
      </w:pPr>
      <w:r>
        <w:separator/>
      </w:r>
    </w:p>
  </w:footnote>
  <w:footnote w:type="continuationSeparator" w:id="0">
    <w:p w14:paraId="769424AB" w14:textId="77777777" w:rsidR="00271CB4" w:rsidRDefault="00271CB4" w:rsidP="000C10FF">
      <w:pPr>
        <w:spacing w:after="0" w:line="240" w:lineRule="auto"/>
      </w:pPr>
      <w:r>
        <w:continuationSeparator/>
      </w:r>
    </w:p>
  </w:footnote>
  <w:footnote w:id="1">
    <w:p w14:paraId="3EFDCA79" w14:textId="77777777"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14:paraId="294D4B11" w14:textId="77777777"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C2"/>
    <w:rsid w:val="00001F2C"/>
    <w:rsid w:val="0000664E"/>
    <w:rsid w:val="0004229C"/>
    <w:rsid w:val="000636D9"/>
    <w:rsid w:val="00074C0F"/>
    <w:rsid w:val="000841DF"/>
    <w:rsid w:val="00087B26"/>
    <w:rsid w:val="000C10FF"/>
    <w:rsid w:val="000C7A06"/>
    <w:rsid w:val="000D73DA"/>
    <w:rsid w:val="000E1078"/>
    <w:rsid w:val="000E28E4"/>
    <w:rsid w:val="000E5326"/>
    <w:rsid w:val="00102F7B"/>
    <w:rsid w:val="00112624"/>
    <w:rsid w:val="00124BC7"/>
    <w:rsid w:val="00141BEC"/>
    <w:rsid w:val="0014467B"/>
    <w:rsid w:val="00193BA5"/>
    <w:rsid w:val="00196B1E"/>
    <w:rsid w:val="001A108A"/>
    <w:rsid w:val="001A3282"/>
    <w:rsid w:val="001B7661"/>
    <w:rsid w:val="001C7496"/>
    <w:rsid w:val="001C775A"/>
    <w:rsid w:val="001D3A0A"/>
    <w:rsid w:val="001E1DAB"/>
    <w:rsid w:val="00200267"/>
    <w:rsid w:val="002157AF"/>
    <w:rsid w:val="00216A65"/>
    <w:rsid w:val="00222B5B"/>
    <w:rsid w:val="0022513C"/>
    <w:rsid w:val="00233227"/>
    <w:rsid w:val="00236118"/>
    <w:rsid w:val="00250218"/>
    <w:rsid w:val="00257E03"/>
    <w:rsid w:val="00271CB4"/>
    <w:rsid w:val="0028422D"/>
    <w:rsid w:val="00285766"/>
    <w:rsid w:val="002927B8"/>
    <w:rsid w:val="002B0E3A"/>
    <w:rsid w:val="002C30B9"/>
    <w:rsid w:val="002C45FF"/>
    <w:rsid w:val="002C49F3"/>
    <w:rsid w:val="002C4FE3"/>
    <w:rsid w:val="002D6A9E"/>
    <w:rsid w:val="002E4635"/>
    <w:rsid w:val="002F545F"/>
    <w:rsid w:val="00303753"/>
    <w:rsid w:val="003327B5"/>
    <w:rsid w:val="00341EE0"/>
    <w:rsid w:val="00346C7F"/>
    <w:rsid w:val="00356843"/>
    <w:rsid w:val="003707C4"/>
    <w:rsid w:val="003858F2"/>
    <w:rsid w:val="00395FB9"/>
    <w:rsid w:val="003C13C5"/>
    <w:rsid w:val="003E58B7"/>
    <w:rsid w:val="003F21F3"/>
    <w:rsid w:val="003F7524"/>
    <w:rsid w:val="00430422"/>
    <w:rsid w:val="00491837"/>
    <w:rsid w:val="004A0FC9"/>
    <w:rsid w:val="004B1A5A"/>
    <w:rsid w:val="004B420F"/>
    <w:rsid w:val="004B53D6"/>
    <w:rsid w:val="004E1320"/>
    <w:rsid w:val="004E5A9B"/>
    <w:rsid w:val="004F51B9"/>
    <w:rsid w:val="0050271F"/>
    <w:rsid w:val="005076FB"/>
    <w:rsid w:val="005141EB"/>
    <w:rsid w:val="005453F7"/>
    <w:rsid w:val="005547D5"/>
    <w:rsid w:val="005867D7"/>
    <w:rsid w:val="005978F6"/>
    <w:rsid w:val="005A4A03"/>
    <w:rsid w:val="005B2AC7"/>
    <w:rsid w:val="005D71C5"/>
    <w:rsid w:val="005F7964"/>
    <w:rsid w:val="006414B2"/>
    <w:rsid w:val="0065091A"/>
    <w:rsid w:val="0065300A"/>
    <w:rsid w:val="00660638"/>
    <w:rsid w:val="0066370D"/>
    <w:rsid w:val="00666A8C"/>
    <w:rsid w:val="006721F6"/>
    <w:rsid w:val="006862FF"/>
    <w:rsid w:val="006A3452"/>
    <w:rsid w:val="006E3D49"/>
    <w:rsid w:val="006F4A10"/>
    <w:rsid w:val="006F690E"/>
    <w:rsid w:val="007006DF"/>
    <w:rsid w:val="00704DBF"/>
    <w:rsid w:val="0074258C"/>
    <w:rsid w:val="00752526"/>
    <w:rsid w:val="0076032F"/>
    <w:rsid w:val="00761983"/>
    <w:rsid w:val="0076438B"/>
    <w:rsid w:val="00766100"/>
    <w:rsid w:val="007701B6"/>
    <w:rsid w:val="007846F0"/>
    <w:rsid w:val="007A7DE3"/>
    <w:rsid w:val="007B2511"/>
    <w:rsid w:val="007E0FA6"/>
    <w:rsid w:val="007E243D"/>
    <w:rsid w:val="007E3A5C"/>
    <w:rsid w:val="007F0A09"/>
    <w:rsid w:val="007F0CDD"/>
    <w:rsid w:val="00804776"/>
    <w:rsid w:val="00806E63"/>
    <w:rsid w:val="00832199"/>
    <w:rsid w:val="00835651"/>
    <w:rsid w:val="008444ED"/>
    <w:rsid w:val="00851A96"/>
    <w:rsid w:val="008616EE"/>
    <w:rsid w:val="00890DAD"/>
    <w:rsid w:val="00893F38"/>
    <w:rsid w:val="008C1AA9"/>
    <w:rsid w:val="008C2396"/>
    <w:rsid w:val="008C6084"/>
    <w:rsid w:val="008D5C50"/>
    <w:rsid w:val="008F409B"/>
    <w:rsid w:val="00902B8F"/>
    <w:rsid w:val="00916A3E"/>
    <w:rsid w:val="00926539"/>
    <w:rsid w:val="00943E6A"/>
    <w:rsid w:val="00944462"/>
    <w:rsid w:val="00956E51"/>
    <w:rsid w:val="00970230"/>
    <w:rsid w:val="00973F14"/>
    <w:rsid w:val="009770B0"/>
    <w:rsid w:val="00997267"/>
    <w:rsid w:val="009A5F33"/>
    <w:rsid w:val="009C4DE3"/>
    <w:rsid w:val="009C6C80"/>
    <w:rsid w:val="009C6D41"/>
    <w:rsid w:val="009C7A84"/>
    <w:rsid w:val="009D61A7"/>
    <w:rsid w:val="009E1634"/>
    <w:rsid w:val="009E3998"/>
    <w:rsid w:val="009F7D65"/>
    <w:rsid w:val="00A01659"/>
    <w:rsid w:val="00A309AA"/>
    <w:rsid w:val="00A4025F"/>
    <w:rsid w:val="00A441D5"/>
    <w:rsid w:val="00A64DFB"/>
    <w:rsid w:val="00A702BB"/>
    <w:rsid w:val="00A72617"/>
    <w:rsid w:val="00A74F5B"/>
    <w:rsid w:val="00A95C95"/>
    <w:rsid w:val="00AA4C23"/>
    <w:rsid w:val="00AC3946"/>
    <w:rsid w:val="00AE2398"/>
    <w:rsid w:val="00AE570D"/>
    <w:rsid w:val="00AF661C"/>
    <w:rsid w:val="00B03658"/>
    <w:rsid w:val="00B110CA"/>
    <w:rsid w:val="00B24BBD"/>
    <w:rsid w:val="00B54F70"/>
    <w:rsid w:val="00B64A27"/>
    <w:rsid w:val="00B65CE6"/>
    <w:rsid w:val="00B71301"/>
    <w:rsid w:val="00B82286"/>
    <w:rsid w:val="00B84C7C"/>
    <w:rsid w:val="00B92A38"/>
    <w:rsid w:val="00BA1C04"/>
    <w:rsid w:val="00BF29C8"/>
    <w:rsid w:val="00C157E8"/>
    <w:rsid w:val="00C22B31"/>
    <w:rsid w:val="00C640EE"/>
    <w:rsid w:val="00C83604"/>
    <w:rsid w:val="00C96CB5"/>
    <w:rsid w:val="00CA2E3C"/>
    <w:rsid w:val="00CA446E"/>
    <w:rsid w:val="00CB14D6"/>
    <w:rsid w:val="00CC1C82"/>
    <w:rsid w:val="00CC685C"/>
    <w:rsid w:val="00CE5C42"/>
    <w:rsid w:val="00CF3B89"/>
    <w:rsid w:val="00D17618"/>
    <w:rsid w:val="00D37E05"/>
    <w:rsid w:val="00D43AAB"/>
    <w:rsid w:val="00D52FD9"/>
    <w:rsid w:val="00D670DD"/>
    <w:rsid w:val="00D7770B"/>
    <w:rsid w:val="00D8481F"/>
    <w:rsid w:val="00D90A05"/>
    <w:rsid w:val="00D91C8A"/>
    <w:rsid w:val="00D920C2"/>
    <w:rsid w:val="00DA0500"/>
    <w:rsid w:val="00DB0080"/>
    <w:rsid w:val="00DF168E"/>
    <w:rsid w:val="00DF3789"/>
    <w:rsid w:val="00E11022"/>
    <w:rsid w:val="00E42D59"/>
    <w:rsid w:val="00E868DB"/>
    <w:rsid w:val="00EA2067"/>
    <w:rsid w:val="00EA5D64"/>
    <w:rsid w:val="00EB2CA1"/>
    <w:rsid w:val="00EC5BE9"/>
    <w:rsid w:val="00F049F3"/>
    <w:rsid w:val="00F274EE"/>
    <w:rsid w:val="00F51F61"/>
    <w:rsid w:val="00F87788"/>
    <w:rsid w:val="00F8799E"/>
    <w:rsid w:val="00FA454D"/>
    <w:rsid w:val="00FD0A11"/>
    <w:rsid w:val="00FE0128"/>
    <w:rsid w:val="00FE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1DE5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85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58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15</Pages>
  <Words>4008</Words>
  <Characters>22850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135</cp:revision>
  <cp:lastPrinted>2024-02-22T08:56:00Z</cp:lastPrinted>
  <dcterms:created xsi:type="dcterms:W3CDTF">2024-01-11T11:16:00Z</dcterms:created>
  <dcterms:modified xsi:type="dcterms:W3CDTF">2025-08-20T08:12:00Z</dcterms:modified>
</cp:coreProperties>
</file>