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534427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7701DA1" wp14:editId="032D98C3">
                                        <wp:extent cx="2238375" cy="1459230"/>
                                        <wp:effectExtent l="0" t="0" r="9525" b="7620"/>
                                        <wp:docPr id="2" name="Рисунок 2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8483" cy="14853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5344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701DA1" wp14:editId="032D98C3">
                                  <wp:extent cx="2238375" cy="1459230"/>
                                  <wp:effectExtent l="0" t="0" r="9525" b="7620"/>
                                  <wp:docPr id="2" name="Рисунок 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8483" cy="1485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сообщение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несчастного случая</w:t>
            </w:r>
            <w:r w:rsidR="00D041F5">
              <w:rPr>
                <w:rFonts w:ascii="Times New Roman" w:hAnsi="Times New Roman" w:cs="Times New Roman"/>
                <w:sz w:val="28"/>
                <w:szCs w:val="28"/>
              </w:rPr>
              <w:t>: 08.05</w:t>
            </w:r>
            <w:r w:rsidR="0091590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528DF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</w:t>
            </w:r>
            <w:r w:rsidRPr="00D041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041F5" w:rsidRPr="00D0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41F5" w:rsidRPr="00D041F5">
              <w:rPr>
                <w:rStyle w:val="aa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Предоставление услуг по бурению, связанному с добычей нефти, газа и газового конденсата</w:t>
            </w:r>
          </w:p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41F5">
              <w:rPr>
                <w:rFonts w:ascii="Times New Roman" w:hAnsi="Times New Roman" w:cs="Times New Roman"/>
                <w:sz w:val="28"/>
                <w:szCs w:val="28"/>
              </w:rPr>
              <w:t xml:space="preserve"> Бурильщик скважин и колодцев</w:t>
            </w:r>
          </w:p>
          <w:p w:rsidR="00CA339A" w:rsidRPr="00915903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Краткая характеристика места, где произошел несчастный </w:t>
            </w:r>
            <w:proofErr w:type="gramStart"/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случай:</w:t>
            </w:r>
            <w:r w:rsidR="00B327F3">
              <w:rPr>
                <w:u w:val="single"/>
              </w:rPr>
              <w:t xml:space="preserve"> </w:t>
            </w:r>
            <w:r w:rsidR="00915903" w:rsidRPr="00915903">
              <w:rPr>
                <w:u w:val="single"/>
              </w:rPr>
              <w:t xml:space="preserve">  </w:t>
            </w:r>
            <w:proofErr w:type="gramEnd"/>
            <w:r w:rsidR="00915903" w:rsidRPr="00915903">
              <w:rPr>
                <w:u w:val="single"/>
              </w:rPr>
              <w:t xml:space="preserve"> </w:t>
            </w:r>
            <w:r w:rsidR="00D041F5">
              <w:rPr>
                <w:rFonts w:ascii="Times New Roman" w:hAnsi="Times New Roman" w:cs="Times New Roman"/>
                <w:sz w:val="28"/>
                <w:szCs w:val="28"/>
              </w:rPr>
              <w:t>Кустовая площадка Приобского месторождения нефти и газа</w:t>
            </w:r>
          </w:p>
          <w:p w:rsidR="00D13CB2" w:rsidRPr="00550FFA" w:rsidRDefault="00CA339A" w:rsidP="00550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использование которого привело к несчастному случаю: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1F5">
              <w:rPr>
                <w:rFonts w:ascii="Times New Roman" w:hAnsi="Times New Roman" w:cs="Times New Roman"/>
                <w:sz w:val="28"/>
                <w:szCs w:val="28"/>
              </w:rPr>
              <w:t>Вибрационный буровой рукав</w:t>
            </w:r>
          </w:p>
        </w:tc>
      </w:tr>
    </w:tbl>
    <w:p w:rsidR="00850652" w:rsidRPr="00850652" w:rsidRDefault="00AA38A7" w:rsidP="00B7474E">
      <w:pPr>
        <w:tabs>
          <w:tab w:val="left" w:pos="887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несчастного </w:t>
      </w:r>
      <w:r w:rsidR="003B367C" w:rsidRPr="00BE1139">
        <w:rPr>
          <w:rFonts w:ascii="Times New Roman" w:hAnsi="Times New Roman" w:cs="Times New Roman"/>
          <w:b/>
          <w:bCs/>
          <w:sz w:val="28"/>
          <w:szCs w:val="28"/>
        </w:rPr>
        <w:t>случая:</w:t>
      </w:r>
      <w:r w:rsidR="003B367C" w:rsidRPr="00BE1139">
        <w:rPr>
          <w:rFonts w:ascii="Times New Roman" w:hAnsi="Times New Roman" w:cs="Times New Roman"/>
          <w:sz w:val="28"/>
          <w:szCs w:val="28"/>
        </w:rPr>
        <w:t xml:space="preserve"> </w:t>
      </w:r>
      <w:r w:rsidR="003B367C" w:rsidRPr="00850652">
        <w:rPr>
          <w:rFonts w:ascii="Times New Roman" w:hAnsi="Times New Roman" w:cs="Times New Roman"/>
          <w:sz w:val="28"/>
          <w:szCs w:val="28"/>
        </w:rPr>
        <w:t>На</w:t>
      </w:r>
      <w:r w:rsidR="003B367C">
        <w:rPr>
          <w:rFonts w:ascii="Times New Roman" w:hAnsi="Times New Roman" w:cs="Times New Roman"/>
          <w:sz w:val="28"/>
          <w:szCs w:val="28"/>
        </w:rPr>
        <w:t xml:space="preserve"> кустовой площадке осуществлялись пусконаладочные работы перед вводом вновь смонтированной буровой установки в эксплуатацию. Буровая бригада под руководством мастера получила производственное задание. Мастер буровой провел целевой инструктаж работникам. При подъёме бурового рукава по</w:t>
      </w:r>
      <w:r w:rsidR="00B7474E">
        <w:rPr>
          <w:rFonts w:ascii="Times New Roman" w:hAnsi="Times New Roman" w:cs="Times New Roman"/>
          <w:sz w:val="28"/>
          <w:szCs w:val="28"/>
        </w:rPr>
        <w:t>мощником бурильщика визуально было выявлено соскальзывание петли страховочного каната вниз по телу РВД.</w:t>
      </w:r>
      <w:r w:rsidR="00B7474E" w:rsidRPr="00B7474E">
        <w:rPr>
          <w:rFonts w:ascii="Times New Roman" w:hAnsi="Times New Roman" w:cs="Times New Roman"/>
          <w:sz w:val="28"/>
          <w:szCs w:val="28"/>
        </w:rPr>
        <w:t xml:space="preserve"> </w:t>
      </w:r>
      <w:r w:rsidR="00B7474E">
        <w:rPr>
          <w:rFonts w:ascii="Times New Roman" w:hAnsi="Times New Roman" w:cs="Times New Roman"/>
          <w:sz w:val="28"/>
          <w:szCs w:val="28"/>
        </w:rPr>
        <w:t>П</w:t>
      </w:r>
      <w:r w:rsidR="00B7474E">
        <w:rPr>
          <w:rFonts w:ascii="Times New Roman" w:hAnsi="Times New Roman" w:cs="Times New Roman"/>
          <w:sz w:val="28"/>
          <w:szCs w:val="28"/>
        </w:rPr>
        <w:t>о</w:t>
      </w:r>
      <w:r w:rsidR="00534427">
        <w:rPr>
          <w:rFonts w:ascii="Times New Roman" w:hAnsi="Times New Roman" w:cs="Times New Roman"/>
          <w:sz w:val="28"/>
          <w:szCs w:val="28"/>
        </w:rPr>
        <w:t>мощник бурильщик</w:t>
      </w:r>
      <w:r w:rsidR="00B7474E">
        <w:rPr>
          <w:rFonts w:ascii="Times New Roman" w:hAnsi="Times New Roman" w:cs="Times New Roman"/>
          <w:sz w:val="28"/>
          <w:szCs w:val="28"/>
        </w:rPr>
        <w:t xml:space="preserve"> незамедлительно доложил об этом бурильщикам и дал команду прекратить подъем. После остановки вспомогательной лебедки, помощник бурильщика поднял голову и увидел движение (падение) РВД </w:t>
      </w:r>
      <w:r w:rsidR="00534427">
        <w:rPr>
          <w:rFonts w:ascii="Times New Roman" w:hAnsi="Times New Roman" w:cs="Times New Roman"/>
          <w:sz w:val="28"/>
          <w:szCs w:val="28"/>
        </w:rPr>
        <w:t>вниз, закричал:</w:t>
      </w:r>
      <w:r w:rsidR="00B7474E">
        <w:rPr>
          <w:rFonts w:ascii="Times New Roman" w:hAnsi="Times New Roman" w:cs="Times New Roman"/>
          <w:sz w:val="28"/>
          <w:szCs w:val="28"/>
        </w:rPr>
        <w:t xml:space="preserve"> «Бойся!»</w:t>
      </w:r>
      <w:r w:rsidR="00534427">
        <w:rPr>
          <w:rFonts w:ascii="Times New Roman" w:hAnsi="Times New Roman" w:cs="Times New Roman"/>
          <w:sz w:val="28"/>
          <w:szCs w:val="28"/>
        </w:rPr>
        <w:t>,</w:t>
      </w:r>
      <w:r w:rsidR="00B7474E">
        <w:rPr>
          <w:rFonts w:ascii="Times New Roman" w:hAnsi="Times New Roman" w:cs="Times New Roman"/>
          <w:sz w:val="28"/>
          <w:szCs w:val="28"/>
        </w:rPr>
        <w:t xml:space="preserve"> чтобы все разбежались. Пострадавший</w:t>
      </w:r>
      <w:r w:rsidR="00534427">
        <w:rPr>
          <w:rFonts w:ascii="Times New Roman" w:hAnsi="Times New Roman" w:cs="Times New Roman"/>
          <w:sz w:val="28"/>
          <w:szCs w:val="28"/>
        </w:rPr>
        <w:t>,</w:t>
      </w:r>
      <w:r w:rsidR="00B7474E">
        <w:rPr>
          <w:rFonts w:ascii="Times New Roman" w:hAnsi="Times New Roman" w:cs="Times New Roman"/>
          <w:sz w:val="28"/>
          <w:szCs w:val="28"/>
        </w:rPr>
        <w:t xml:space="preserve"> услышав крик «Бойся!», предпринял попытку покинуть местоположение, но почувствовал удар</w:t>
      </w:r>
      <w:r w:rsidR="00534427">
        <w:rPr>
          <w:rFonts w:ascii="Times New Roman" w:hAnsi="Times New Roman" w:cs="Times New Roman"/>
          <w:sz w:val="28"/>
          <w:szCs w:val="28"/>
        </w:rPr>
        <w:t xml:space="preserve"> в область</w:t>
      </w:r>
      <w:r w:rsidR="00B7474E">
        <w:rPr>
          <w:rFonts w:ascii="Times New Roman" w:hAnsi="Times New Roman" w:cs="Times New Roman"/>
          <w:sz w:val="28"/>
          <w:szCs w:val="28"/>
        </w:rPr>
        <w:t xml:space="preserve"> правой ноги, после чего упал на пол роторной площадки. Пострадавший транспортом цеха с сопровождением был доставлен в БУ ХМАО-Югры «Сургутская окружная клиническая больница»</w:t>
      </w:r>
    </w:p>
    <w:p w:rsidR="00BE1139" w:rsidRPr="00BE1139" w:rsidRDefault="00AA38A7" w:rsidP="00E5539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Вид происшествия</w:t>
      </w:r>
      <w:r w:rsidR="007455CF" w:rsidRPr="00BE113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455CF" w:rsidRPr="00BE1139">
        <w:rPr>
          <w:rFonts w:ascii="Times New Roman" w:hAnsi="Times New Roman"/>
          <w:sz w:val="28"/>
          <w:szCs w:val="28"/>
        </w:rPr>
        <w:t xml:space="preserve"> </w:t>
      </w:r>
      <w:r w:rsidR="005E4604">
        <w:rPr>
          <w:rFonts w:ascii="Times New Roman" w:hAnsi="Times New Roman"/>
          <w:sz w:val="28"/>
          <w:szCs w:val="28"/>
        </w:rPr>
        <w:t>Воздействие движущихся, разлетающихся, вращающихся предметов, деталей, машин и других</w:t>
      </w:r>
      <w:r w:rsidR="00534427">
        <w:rPr>
          <w:rFonts w:ascii="Times New Roman" w:hAnsi="Times New Roman"/>
          <w:sz w:val="28"/>
          <w:szCs w:val="28"/>
        </w:rPr>
        <w:t>, в том числе контактные удары (</w:t>
      </w:r>
      <w:r w:rsidR="005E4604">
        <w:rPr>
          <w:rFonts w:ascii="Times New Roman" w:hAnsi="Times New Roman"/>
          <w:sz w:val="28"/>
          <w:szCs w:val="28"/>
        </w:rPr>
        <w:t>ушибы) при столкновении с движущимися предметами, деталями и машинами</w:t>
      </w:r>
    </w:p>
    <w:p w:rsidR="00536BA6" w:rsidRPr="00BE1139" w:rsidRDefault="00AA38A7" w:rsidP="00AF651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Причины несчастного случая:</w:t>
      </w:r>
    </w:p>
    <w:p w:rsidR="005E4604" w:rsidRDefault="00536BA6" w:rsidP="00060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="005638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E4604" w:rsidRPr="003B367C">
        <w:rPr>
          <w:rFonts w:ascii="Times New Roman" w:hAnsi="Times New Roman" w:cs="Times New Roman"/>
          <w:bCs/>
          <w:sz w:val="28"/>
          <w:szCs w:val="28"/>
        </w:rPr>
        <w:t>Конструктивные недостатки и недостаточная надежность машин, механизмов, оборудования, в том числе: инструмента (в том числе</w:t>
      </w:r>
      <w:r w:rsidR="003B367C" w:rsidRPr="003B367C">
        <w:rPr>
          <w:rFonts w:ascii="Times New Roman" w:hAnsi="Times New Roman" w:cs="Times New Roman"/>
          <w:bCs/>
          <w:sz w:val="28"/>
          <w:szCs w:val="28"/>
        </w:rPr>
        <w:t xml:space="preserve"> пневматического и элект</w:t>
      </w:r>
      <w:r w:rsidR="00534427">
        <w:rPr>
          <w:rFonts w:ascii="Times New Roman" w:hAnsi="Times New Roman" w:cs="Times New Roman"/>
          <w:bCs/>
          <w:sz w:val="28"/>
          <w:szCs w:val="28"/>
        </w:rPr>
        <w:t>роинструмента) и приспособлений</w:t>
      </w:r>
    </w:p>
    <w:p w:rsidR="00060CD0" w:rsidRDefault="00060CD0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0CD0" w:rsidRDefault="00060CD0" w:rsidP="00060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295D" w:rsidRDefault="0092295D" w:rsidP="00060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color w:val="FF0000"/>
          <w:sz w:val="28"/>
          <w:szCs w:val="28"/>
        </w:rPr>
        <w:t xml:space="preserve">ВАЖНО: </w:t>
      </w:r>
      <w:r w:rsidRPr="00BE1139">
        <w:rPr>
          <w:rFonts w:ascii="Times New Roman" w:hAnsi="Times New Roman" w:cs="Times New Roman"/>
          <w:sz w:val="28"/>
          <w:szCs w:val="28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534427" w:rsidRDefault="00534427" w:rsidP="00060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856" w:rsidRPr="004F1614" w:rsidRDefault="000F4856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4856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1BB10" id="Прямоугольник 6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8j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oevI+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0F4856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5D7CA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F4856" w:rsidRPr="004F1614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60CD0"/>
    <w:rsid w:val="000F4856"/>
    <w:rsid w:val="00127F43"/>
    <w:rsid w:val="001528DF"/>
    <w:rsid w:val="001C5085"/>
    <w:rsid w:val="001F2437"/>
    <w:rsid w:val="002200C9"/>
    <w:rsid w:val="00262411"/>
    <w:rsid w:val="002819ED"/>
    <w:rsid w:val="002917CA"/>
    <w:rsid w:val="002E00E2"/>
    <w:rsid w:val="00354C15"/>
    <w:rsid w:val="00384C0D"/>
    <w:rsid w:val="003B367C"/>
    <w:rsid w:val="00411E70"/>
    <w:rsid w:val="004231F7"/>
    <w:rsid w:val="004312C3"/>
    <w:rsid w:val="00461EFF"/>
    <w:rsid w:val="004F1614"/>
    <w:rsid w:val="00534427"/>
    <w:rsid w:val="00536BA6"/>
    <w:rsid w:val="00550FFA"/>
    <w:rsid w:val="005638FD"/>
    <w:rsid w:val="005833EE"/>
    <w:rsid w:val="005A1617"/>
    <w:rsid w:val="005C196A"/>
    <w:rsid w:val="005E4604"/>
    <w:rsid w:val="005F67F6"/>
    <w:rsid w:val="00635FDF"/>
    <w:rsid w:val="006C2273"/>
    <w:rsid w:val="006C5A82"/>
    <w:rsid w:val="006F27A5"/>
    <w:rsid w:val="00707741"/>
    <w:rsid w:val="00713FB6"/>
    <w:rsid w:val="007455CF"/>
    <w:rsid w:val="00753483"/>
    <w:rsid w:val="0075619A"/>
    <w:rsid w:val="007667BE"/>
    <w:rsid w:val="007C4385"/>
    <w:rsid w:val="007E422A"/>
    <w:rsid w:val="007F642A"/>
    <w:rsid w:val="00804605"/>
    <w:rsid w:val="00836432"/>
    <w:rsid w:val="0084404E"/>
    <w:rsid w:val="00850652"/>
    <w:rsid w:val="00915768"/>
    <w:rsid w:val="00915903"/>
    <w:rsid w:val="0092295D"/>
    <w:rsid w:val="00996331"/>
    <w:rsid w:val="009B739B"/>
    <w:rsid w:val="00A270FB"/>
    <w:rsid w:val="00AA38A7"/>
    <w:rsid w:val="00AD1879"/>
    <w:rsid w:val="00AF6518"/>
    <w:rsid w:val="00B020BB"/>
    <w:rsid w:val="00B327F3"/>
    <w:rsid w:val="00B7474E"/>
    <w:rsid w:val="00B765F9"/>
    <w:rsid w:val="00BB3501"/>
    <w:rsid w:val="00BE1139"/>
    <w:rsid w:val="00BF2EBF"/>
    <w:rsid w:val="00C125C2"/>
    <w:rsid w:val="00C669C9"/>
    <w:rsid w:val="00CA339A"/>
    <w:rsid w:val="00CB1AB6"/>
    <w:rsid w:val="00CD73F1"/>
    <w:rsid w:val="00D041F5"/>
    <w:rsid w:val="00D13CB2"/>
    <w:rsid w:val="00D83865"/>
    <w:rsid w:val="00E05E6E"/>
    <w:rsid w:val="00E31835"/>
    <w:rsid w:val="00E40CFB"/>
    <w:rsid w:val="00E427D8"/>
    <w:rsid w:val="00E55394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61EA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5394"/>
    <w:pPr>
      <w:ind w:left="720"/>
      <w:contextualSpacing/>
    </w:pPr>
  </w:style>
  <w:style w:type="character" w:styleId="aa">
    <w:name w:val="Strong"/>
    <w:basedOn w:val="a0"/>
    <w:uiPriority w:val="22"/>
    <w:qFormat/>
    <w:rsid w:val="00D0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EE25-F768-46EB-A819-DFBB606E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56</cp:revision>
  <cp:lastPrinted>2025-04-07T05:58:00Z</cp:lastPrinted>
  <dcterms:created xsi:type="dcterms:W3CDTF">2023-04-03T10:27:00Z</dcterms:created>
  <dcterms:modified xsi:type="dcterms:W3CDTF">2025-09-01T06:41:00Z</dcterms:modified>
</cp:coreProperties>
</file>