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B" w:rsidRPr="00AE50EB" w:rsidRDefault="00AE50EB" w:rsidP="0040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354A5C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земельном контроле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354A5C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города Нефтеюганска,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муниципальном земельном контроле в городе Нефтеюганске, утверждённое решением Думы от 26.08.2021 №1004-VI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№693-VII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3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Председатель Думы </w:t>
      </w:r>
    </w:p>
    <w:p w:rsidR="00AE50EB" w:rsidRPr="00AE50EB" w:rsidRDefault="00354A5C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354A5C" w:rsidRPr="00AE50EB" w:rsidRDefault="00354A5C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Ю.В. Чекунов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М.М. Миннигулов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354A5C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4A5C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4A5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4A5C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bookmarkStart w:id="0" w:name="_GoBack"/>
      <w:bookmarkEnd w:id="0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муниципальном земельном контроле в 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D91F17" w:rsidP="00D91F1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E50EB"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proofErr w:type="gramStart"/>
      <w:r w:rsidR="00DD285E">
        <w:t>1.Настоящее</w:t>
      </w:r>
      <w:proofErr w:type="gramEnd"/>
      <w:r w:rsidR="00DD285E">
        <w:t xml:space="preserve"> </w:t>
      </w:r>
      <w:r w:rsidR="006D4639" w:rsidRPr="006D4639">
        <w:t xml:space="preserve">Положение о муниципальном земельном контроле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земельного контроля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(</w:t>
      </w:r>
      <w:r w:rsidR="00CD1626">
        <w:t>далее – объект контроля</w:t>
      </w:r>
      <w:r>
        <w:t>) применяются положения Федерального закона от 31.07.2020</w:t>
      </w:r>
      <w:r w:rsidR="00CD1626">
        <w:t xml:space="preserve">                      </w:t>
      </w:r>
      <w:r>
        <w:t xml:space="preserve">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955019">
        <w:t>, Земельного кодекса Российской Федерации.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3.Муниципальный</w:t>
      </w:r>
      <w:proofErr w:type="gramEnd"/>
      <w:r>
        <w:t xml:space="preserve"> контроль  на территории города Нефтеюганска осуществляется службой муниципального контроля администрации города Нефтеюганска  (далее – контрольный орган).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4.Объектами</w:t>
      </w:r>
      <w:proofErr w:type="gramEnd"/>
      <w:r>
        <w:t xml:space="preserve"> муниципального контроля являются:</w:t>
      </w:r>
    </w:p>
    <w:p w:rsidR="00EA2A43" w:rsidRPr="00EA2A43" w:rsidRDefault="001735E2" w:rsidP="00EA2A43">
      <w:pPr>
        <w:pStyle w:val="ConsPlusNormal"/>
        <w:ind w:firstLine="567"/>
        <w:jc w:val="both"/>
      </w:pPr>
      <w:r w:rsidRPr="00D47644">
        <w:t>1)</w:t>
      </w:r>
      <w:r w:rsidR="00D47644" w:rsidRPr="00D47644">
        <w:t xml:space="preserve">деятельность, действия (бездействие) граждан и организаций </w:t>
      </w:r>
      <w:r w:rsidR="00D37507" w:rsidRPr="00D37507">
        <w:t>в сфере землепользования</w:t>
      </w:r>
      <w:r w:rsidR="00D47644" w:rsidRPr="00D47644">
        <w:t xml:space="preserve">, в рамках которых должны соблюдаться обязательные требования, в том числе предъявляемые к контролируемым лицам, </w:t>
      </w:r>
      <w:r w:rsidR="00D47644" w:rsidRPr="00EA2A43">
        <w:t>осуществляющим деятельность, действия (бездействие);</w:t>
      </w:r>
    </w:p>
    <w:p w:rsidR="00EA2A43" w:rsidRPr="00EA2A43" w:rsidRDefault="00EA2A43" w:rsidP="00EA2A43">
      <w:pPr>
        <w:pStyle w:val="ConsPlusNormal"/>
        <w:ind w:firstLine="567"/>
        <w:jc w:val="both"/>
      </w:pPr>
      <w:r w:rsidRPr="00EA2A43">
        <w:t>2)результаты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EA2A43" w:rsidRDefault="00EA2A43" w:rsidP="00EA2A43">
      <w:pPr>
        <w:pStyle w:val="ConsPlusNormal"/>
        <w:ind w:firstLine="567"/>
        <w:jc w:val="both"/>
      </w:pPr>
      <w:r w:rsidRPr="00EA2A43">
        <w:t>3)здания,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6D4639" w:rsidRPr="006D4639" w:rsidRDefault="00761B10" w:rsidP="006D4639">
      <w:pPr>
        <w:pStyle w:val="ConsPlusNormal"/>
        <w:ind w:firstLine="567"/>
        <w:jc w:val="both"/>
        <w:rPr>
          <w:i/>
        </w:rPr>
      </w:pPr>
      <w:r>
        <w:t>1.5.</w:t>
      </w:r>
      <w:r w:rsidR="006D4639">
        <w:t xml:space="preserve">Учет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 xml:space="preserve">перечня объектов контроля, размещенного на официальном сайте </w:t>
      </w:r>
      <w:r w:rsidR="00402F79" w:rsidRPr="00402F79">
        <w:t>на официальном сайте органов местного сам</w:t>
      </w:r>
      <w:r w:rsidR="00402F79">
        <w:t>оуправления города Нефтеюганска</w:t>
      </w:r>
      <w:r>
        <w:t>;</w:t>
      </w:r>
    </w:p>
    <w:p w:rsidR="00666156" w:rsidRDefault="006D4639" w:rsidP="00666156">
      <w:pPr>
        <w:pStyle w:val="ConsPlusNormal"/>
        <w:ind w:firstLine="567"/>
        <w:jc w:val="both"/>
      </w:pPr>
      <w:r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</w:t>
      </w:r>
      <w:proofErr w:type="gramStart"/>
      <w:r>
        <w:t>6.</w:t>
      </w:r>
      <w:r w:rsidR="00761B10" w:rsidRPr="00761B10">
        <w:t>Предметом</w:t>
      </w:r>
      <w:proofErr w:type="gramEnd"/>
      <w:r w:rsidR="00761B10" w:rsidRPr="00761B10">
        <w:t xml:space="preserve"> муниципального контроля являются</w:t>
      </w:r>
      <w:r w:rsidR="00761B10">
        <w:t>:</w:t>
      </w:r>
    </w:p>
    <w:p w:rsidR="006D4639" w:rsidRDefault="00761B10" w:rsidP="00666156">
      <w:pPr>
        <w:pStyle w:val="ConsPlusNormal"/>
        <w:ind w:firstLine="567"/>
        <w:jc w:val="both"/>
      </w:pPr>
      <w:r>
        <w:t>1.6.</w:t>
      </w:r>
      <w:proofErr w:type="gramStart"/>
      <w:r>
        <w:t>1.С</w:t>
      </w:r>
      <w:r w:rsidRPr="00761B10">
        <w:t>облюдение</w:t>
      </w:r>
      <w:proofErr w:type="gramEnd"/>
      <w:r w:rsidR="00AF5193">
        <w:t xml:space="preserve"> </w:t>
      </w:r>
      <w:r w:rsidR="00AF5193" w:rsidRPr="00AF5193">
        <w:t>юридическими лицами, индивидуальными предпринимателями, гражданами</w:t>
      </w:r>
      <w:r w:rsidRPr="00761B10">
        <w:t xml:space="preserve"> </w:t>
      </w:r>
      <w:r w:rsidR="00AF5193" w:rsidRPr="00AF5193">
        <w:t>(далее – контролируемые лица)</w:t>
      </w:r>
      <w:r w:rsidR="00AF5193">
        <w:t xml:space="preserve"> </w:t>
      </w:r>
      <w:r w:rsidRPr="00761B10">
        <w:lastRenderedPageBreak/>
        <w:t>обязательных требований 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t>.</w:t>
      </w:r>
    </w:p>
    <w:p w:rsidR="003F1105" w:rsidRDefault="00761B10" w:rsidP="003F1105">
      <w:pPr>
        <w:pStyle w:val="ConsPlusNormal"/>
        <w:ind w:firstLine="567"/>
        <w:jc w:val="both"/>
        <w:rPr>
          <w:i/>
        </w:rPr>
      </w:pPr>
      <w:r>
        <w:t>1.6.</w:t>
      </w:r>
      <w:proofErr w:type="gramStart"/>
      <w:r>
        <w:t>2.</w:t>
      </w:r>
      <w:r w:rsidR="00666156">
        <w:t>И</w:t>
      </w:r>
      <w:r w:rsidR="00666156" w:rsidRPr="00666156">
        <w:t>сполнение</w:t>
      </w:r>
      <w:proofErr w:type="gramEnd"/>
      <w:r w:rsidR="00666156" w:rsidRPr="00666156">
        <w:t xml:space="preserve"> решений, принимаемых по результатам контрольных мероприятий.</w:t>
      </w:r>
    </w:p>
    <w:p w:rsidR="003F1105" w:rsidRPr="003F1105" w:rsidRDefault="003F1105" w:rsidP="003F1105">
      <w:pPr>
        <w:pStyle w:val="ConsPlusNormal"/>
        <w:ind w:firstLine="567"/>
        <w:jc w:val="both"/>
        <w:rPr>
          <w:i/>
        </w:rPr>
      </w:pPr>
      <w:r>
        <w:t>1.7. Муниципальный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1.8. Муниципальный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2A23BC" w:rsidP="005D743F">
      <w:pPr>
        <w:pStyle w:val="ConsPlusNormal"/>
        <w:ind w:firstLine="567"/>
        <w:jc w:val="both"/>
      </w:pPr>
      <w:r>
        <w:t>1.</w:t>
      </w:r>
      <w:proofErr w:type="gramStart"/>
      <w:r>
        <w:t>9.</w:t>
      </w:r>
      <w:r w:rsidR="00D37507">
        <w:t>Принятие</w:t>
      </w:r>
      <w:proofErr w:type="gramEnd"/>
      <w:r w:rsidR="00D37507">
        <w:t xml:space="preserve">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4A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причинения вреда (ущерба) закреплен в ключевых показателях 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</w:t>
      </w:r>
      <w:r w:rsidR="00E16F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="00E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индикативны</w:t>
      </w:r>
      <w:r w:rsidR="00E16F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E16F9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CFE" w:rsidRPr="006A4A05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</w:t>
      </w:r>
      <w:proofErr w:type="gramStart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Программы</w:t>
      </w:r>
      <w:proofErr w:type="gramEnd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на официальном сайте </w:t>
      </w:r>
      <w:r w:rsidR="00402F79" w:rsidRPr="0040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</w:t>
      </w:r>
      <w:r w:rsidR="00402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797B3F" w:rsidRDefault="00075CFE" w:rsidP="00797B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97B3F" w:rsidRPr="00797B3F">
        <w:t xml:space="preserve"> </w:t>
      </w:r>
      <w:r w:rsidR="00797B3F" w:rsidRPr="0079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 в срок, не превышающий 10 рабочих дней со дня их получения, и предлагает принять меры по обеспечению соблюдения обязательных требований.</w:t>
      </w:r>
    </w:p>
    <w:p w:rsidR="00075CFE" w:rsidRPr="00075CFE" w:rsidRDefault="00797B3F" w:rsidP="00797B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</w:t>
      </w:r>
      <w:r w:rsidR="009B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Повторное направление возражения по тем же основаниям не </w:t>
      </w:r>
      <w:r w:rsidRPr="003A6450">
        <w:rPr>
          <w:rFonts w:ascii="Times New Roman" w:hAnsi="Times New Roman" w:cs="Times New Roman"/>
          <w:sz w:val="28"/>
          <w:szCs w:val="28"/>
        </w:rPr>
        <w:lastRenderedPageBreak/>
        <w:t>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</w:t>
      </w:r>
      <w:proofErr w:type="gramStart"/>
      <w:r w:rsidRPr="003A645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A6450">
        <w:rPr>
          <w:rFonts w:ascii="Times New Roman" w:hAnsi="Times New Roman" w:cs="Times New Roman"/>
          <w:sz w:val="28"/>
          <w:szCs w:val="28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proofErr w:type="gramEnd"/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proofErr w:type="gramStart"/>
      <w:r w:rsidR="00D10A10">
        <w:t>1.</w:t>
      </w:r>
      <w:r w:rsidR="00F62FA6">
        <w:t>Консультирование</w:t>
      </w:r>
      <w:proofErr w:type="gramEnd"/>
      <w:r w:rsidR="00F62FA6">
        <w:t xml:space="preserve">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2.Консультирование</w:t>
      </w:r>
      <w:proofErr w:type="gramEnd"/>
      <w:r>
        <w:t xml:space="preserve">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3.Если</w:t>
      </w:r>
      <w:proofErr w:type="gramEnd"/>
      <w:r>
        <w:t xml:space="preserve">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t xml:space="preserve">3.7.4.В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</w:t>
      </w:r>
      <w: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5.Контрольный</w:t>
      </w:r>
      <w:proofErr w:type="gramEnd"/>
      <w:r>
        <w:t xml:space="preserve"> орган осуществляет учет консультирований, который проводится посредством внесения соответствующей записи в журнал консультирования</w:t>
      </w:r>
      <w:r w:rsidR="00B44640">
        <w:t xml:space="preserve"> в электронном виде</w:t>
      </w:r>
      <w:r>
        <w:t>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</w:t>
      </w:r>
      <w:r w:rsidR="00A1309E">
        <w:rPr>
          <w:rFonts w:ascii="Times New Roman" w:hAnsi="Times New Roman" w:cs="Times New Roman"/>
          <w:sz w:val="28"/>
          <w:szCs w:val="28"/>
        </w:rPr>
        <w:t xml:space="preserve">актический визит проводится </w:t>
      </w:r>
      <w:proofErr w:type="gramStart"/>
      <w:r w:rsidR="00A1309E">
        <w:rPr>
          <w:rFonts w:ascii="Times New Roman" w:hAnsi="Times New Roman" w:cs="Times New Roman"/>
          <w:sz w:val="28"/>
          <w:szCs w:val="28"/>
        </w:rPr>
        <w:t xml:space="preserve">в </w:t>
      </w:r>
      <w:r w:rsidRPr="00B92821"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End"/>
      <w:r w:rsidRPr="00B92821">
        <w:rPr>
          <w:rFonts w:ascii="Times New Roman" w:hAnsi="Times New Roman" w:cs="Times New Roman"/>
          <w:sz w:val="28"/>
          <w:szCs w:val="28"/>
        </w:rPr>
        <w:t>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</w:t>
      </w:r>
      <w:r w:rsidR="00313DDD" w:rsidRPr="00313DDD">
        <w:rPr>
          <w:rFonts w:ascii="Times New Roman" w:hAnsi="Times New Roman" w:cs="Times New Roman"/>
          <w:sz w:val="28"/>
          <w:szCs w:val="28"/>
        </w:rPr>
        <w:lastRenderedPageBreak/>
        <w:t>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3DD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13DDD">
        <w:rPr>
          <w:rFonts w:ascii="Times New Roman" w:hAnsi="Times New Roman" w:cs="Times New Roman"/>
          <w:sz w:val="28"/>
          <w:szCs w:val="28"/>
        </w:rPr>
        <w:t xml:space="preserve">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proofErr w:type="gramStart"/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</w:t>
      </w: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рассмотрения в ходе документарной проверки письменных объяснений и документов, либо при отсутствии </w:t>
      </w:r>
      <w:proofErr w:type="gramStart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 объяснений</w:t>
      </w:r>
      <w:proofErr w:type="gramEnd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13DDD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313DDD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протоколам контрольных действий, проведенных в рамках контрольного мероприятия без 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</w:t>
      </w:r>
      <w:r w:rsidRPr="00313DDD">
        <w:rPr>
          <w:rFonts w:ascii="Times New Roman" w:hAnsi="Times New Roman" w:cs="Times New Roman"/>
          <w:sz w:val="28"/>
          <w:szCs w:val="28"/>
        </w:rPr>
        <w:lastRenderedPageBreak/>
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ыездное</w:t>
      </w:r>
      <w:proofErr w:type="gramEnd"/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частями 4 и 5 статьи 21 Федерального закона № 248-ФЗ.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="00B64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учае, указанном в абзаце втором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Default="005E46FE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gramEnd"/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контрольного мероприятия выданное предписание об устранении нарушений обязательных требований исполнено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662E3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6D140D" w:rsidRDefault="006D140D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1.Решения</w:t>
      </w:r>
      <w:proofErr w:type="gramEnd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2.Досудебное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3.Контролируемые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4.Жалобу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подает в соответствии со статьями 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5.Жалоба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 о проведении контрольных мероприятий, акты 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контрольных мероприятий и предписания об устранении выявленных  нарушений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действие (бездействие) руководителя или лица его замещающего органа муниципального контроля рассматриваетс</w:t>
      </w:r>
      <w:r w:rsidR="00B64D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главой города Нефтеюганска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B36" w:rsidRDefault="001B1B36" w:rsidP="001B1B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05" w:rsidRDefault="006A4A05" w:rsidP="005D743F">
      <w:pPr>
        <w:pStyle w:val="ConsPlusNormal"/>
        <w:ind w:firstLine="567"/>
        <w:jc w:val="both"/>
      </w:pPr>
    </w:p>
    <w:p w:rsidR="001735E2" w:rsidRDefault="005D743F" w:rsidP="005D743F">
      <w:pPr>
        <w:pStyle w:val="ConsPlusNormal"/>
        <w:ind w:firstLine="567"/>
        <w:jc w:val="both"/>
      </w:pPr>
      <w:r>
        <w:t xml:space="preserve"> </w:t>
      </w:r>
    </w:p>
    <w:p w:rsidR="001735E2" w:rsidRDefault="001735E2" w:rsidP="008C342A">
      <w:pPr>
        <w:pStyle w:val="ConsPlusNormal"/>
        <w:ind w:firstLine="567"/>
        <w:jc w:val="both"/>
      </w:pPr>
    </w:p>
    <w:p w:rsidR="008C342A" w:rsidRPr="008C342A" w:rsidRDefault="008C342A" w:rsidP="008C34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C3C" w:rsidRDefault="00180C3C"/>
    <w:sectPr w:rsidR="0018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2"/>
    <w:rsid w:val="00075CFE"/>
    <w:rsid w:val="000A5B25"/>
    <w:rsid w:val="001208A6"/>
    <w:rsid w:val="001214A8"/>
    <w:rsid w:val="0015401C"/>
    <w:rsid w:val="001735E2"/>
    <w:rsid w:val="00176415"/>
    <w:rsid w:val="00180C3C"/>
    <w:rsid w:val="001A4127"/>
    <w:rsid w:val="001B1B36"/>
    <w:rsid w:val="001F7629"/>
    <w:rsid w:val="00242122"/>
    <w:rsid w:val="002773EE"/>
    <w:rsid w:val="002A23BC"/>
    <w:rsid w:val="002A7A19"/>
    <w:rsid w:val="002C0780"/>
    <w:rsid w:val="002C5F03"/>
    <w:rsid w:val="00313DDD"/>
    <w:rsid w:val="00354A5C"/>
    <w:rsid w:val="00383878"/>
    <w:rsid w:val="003A6450"/>
    <w:rsid w:val="003F1105"/>
    <w:rsid w:val="00402F79"/>
    <w:rsid w:val="00486483"/>
    <w:rsid w:val="004C2845"/>
    <w:rsid w:val="00502D5D"/>
    <w:rsid w:val="00522952"/>
    <w:rsid w:val="00547C1B"/>
    <w:rsid w:val="005D743F"/>
    <w:rsid w:val="005E46FE"/>
    <w:rsid w:val="00613949"/>
    <w:rsid w:val="00627C25"/>
    <w:rsid w:val="00662E34"/>
    <w:rsid w:val="00666156"/>
    <w:rsid w:val="00667E17"/>
    <w:rsid w:val="00683F81"/>
    <w:rsid w:val="006A4A05"/>
    <w:rsid w:val="006D140D"/>
    <w:rsid w:val="006D4639"/>
    <w:rsid w:val="007354C2"/>
    <w:rsid w:val="00750ED7"/>
    <w:rsid w:val="00761B10"/>
    <w:rsid w:val="007972E3"/>
    <w:rsid w:val="00797846"/>
    <w:rsid w:val="00797B3F"/>
    <w:rsid w:val="007E7853"/>
    <w:rsid w:val="008A68D0"/>
    <w:rsid w:val="008B18F0"/>
    <w:rsid w:val="008C342A"/>
    <w:rsid w:val="00930106"/>
    <w:rsid w:val="00931D44"/>
    <w:rsid w:val="00955019"/>
    <w:rsid w:val="009B4B5D"/>
    <w:rsid w:val="009B6F9F"/>
    <w:rsid w:val="009D3C06"/>
    <w:rsid w:val="009E135C"/>
    <w:rsid w:val="00A1309E"/>
    <w:rsid w:val="00AE50EB"/>
    <w:rsid w:val="00AF0C49"/>
    <w:rsid w:val="00AF0EAA"/>
    <w:rsid w:val="00AF5193"/>
    <w:rsid w:val="00B44640"/>
    <w:rsid w:val="00B64D7C"/>
    <w:rsid w:val="00B8448D"/>
    <w:rsid w:val="00B92821"/>
    <w:rsid w:val="00BE2155"/>
    <w:rsid w:val="00C150C3"/>
    <w:rsid w:val="00C31A83"/>
    <w:rsid w:val="00C62505"/>
    <w:rsid w:val="00CD1626"/>
    <w:rsid w:val="00D05836"/>
    <w:rsid w:val="00D10A10"/>
    <w:rsid w:val="00D20A34"/>
    <w:rsid w:val="00D2509A"/>
    <w:rsid w:val="00D37507"/>
    <w:rsid w:val="00D47644"/>
    <w:rsid w:val="00D55063"/>
    <w:rsid w:val="00D91F17"/>
    <w:rsid w:val="00DA1FBB"/>
    <w:rsid w:val="00DB2943"/>
    <w:rsid w:val="00DD285E"/>
    <w:rsid w:val="00DE03C2"/>
    <w:rsid w:val="00E16F91"/>
    <w:rsid w:val="00E323E9"/>
    <w:rsid w:val="00E53B14"/>
    <w:rsid w:val="00EA2A43"/>
    <w:rsid w:val="00F62FA6"/>
    <w:rsid w:val="00F87DE6"/>
    <w:rsid w:val="00FC171C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4E05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81</cp:revision>
  <cp:lastPrinted>2025-06-18T10:50:00Z</cp:lastPrinted>
  <dcterms:created xsi:type="dcterms:W3CDTF">2025-03-24T09:23:00Z</dcterms:created>
  <dcterms:modified xsi:type="dcterms:W3CDTF">2025-06-25T08:18:00Z</dcterms:modified>
</cp:coreProperties>
</file>