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</w:rPr>
      </w:pPr>
      <w:r/>
      <w:bookmarkStart w:id="0" w:name="_GoBack"/>
      <w:r/>
      <w:bookmarkEnd w:id="0"/>
      <w:r>
        <w:rPr>
          <w:b/>
        </w:rPr>
        <w:t xml:space="preserve">Сообщение</w:t>
      </w:r>
      <w:r>
        <w:rPr>
          <w:b/>
        </w:rPr>
      </w:r>
      <w:r>
        <w:rPr>
          <w:b/>
        </w:rPr>
      </w:r>
    </w:p>
    <w:p>
      <w:pPr>
        <w:jc w:val="center"/>
        <w:spacing w:after="0"/>
        <w:rPr>
          <w:b/>
          <w:bCs/>
        </w:rPr>
      </w:pPr>
      <w:r>
        <w:rPr>
          <w:b/>
        </w:rPr>
        <w:t xml:space="preserve">о возможном установлении публичного сервитута в целях эксплуатации объекта электросетевого хозяйства регионального значения Ханты-Мансийского автономного округа </w:t>
      </w:r>
      <w:r>
        <w:t xml:space="preserve">–</w:t>
      </w:r>
      <w:r>
        <w:rPr>
          <w:b/>
        </w:rPr>
        <w:t xml:space="preserve"> Югры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/>
        <w:rPr>
          <w:b/>
          <w:bCs/>
        </w:rPr>
      </w:pPr>
      <w:r>
        <w:rPr>
          <w:b/>
        </w:rPr>
        <w:t xml:space="preserve">«</w:t>
      </w:r>
      <w:r>
        <w:rPr>
          <w:b/>
        </w:rPr>
      </w:r>
      <w:r>
        <w:rPr>
          <w:b/>
        </w:rPr>
        <w:t xml:space="preserve">ПС 110/35/6 кВ Звездная</w:t>
      </w:r>
      <w:r>
        <w:rPr>
          <w:b/>
        </w:rPr>
      </w:r>
      <w:r>
        <w:rPr>
          <w:b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after="0"/>
      </w:pPr>
      <w:r>
        <w:t xml:space="preserve">В соответствии со статьей 39.42 Земельного кодекса Российской Федерации, в связи с ходатайством акционерного общества</w:t>
      </w:r>
      <w:r>
        <w:rPr>
          <w:szCs w:val="28"/>
        </w:rPr>
        <w:t xml:space="preserve"> «Россети Тюмень»</w:t>
      </w:r>
      <w:r>
        <w:t xml:space="preserve">, Департамент по управлению государственным имуществом Ханты-Мансийского автономного округа – Югры информирует</w:t>
      </w:r>
      <w:r>
        <w:br/>
        <w:t xml:space="preserve">о возможном установлении публичного сервитута с целью </w:t>
      </w:r>
      <w:r>
        <w:t xml:space="preserve">эксплуатации объекта электросетевого хозяйства регионального значения Ханты-Мансийского автономного округа – Югры «</w:t>
      </w:r>
      <w:r>
        <w:t xml:space="preserve">ПС 110/35/6 кВ Звездная</w:t>
      </w:r>
      <w:r/>
      <w:r>
        <w:t xml:space="preserve">»</w:t>
        <w:br/>
      </w:r>
      <w:r>
        <w:rPr>
          <w:bCs/>
        </w:rPr>
        <w:t xml:space="preserve">на территории городского округа Нефтеюганск.</w:t>
      </w:r>
      <w:r/>
    </w:p>
    <w:p>
      <w:pPr>
        <w:ind w:firstLine="709"/>
        <w:jc w:val="center"/>
        <w:spacing w:after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0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Наименование уполномоченного органа, которым рассматривается ходатайство об установлении публичного сервитута.</w:t>
      </w:r>
      <w:r>
        <w:rPr>
          <w:b/>
        </w:rPr>
      </w:r>
      <w:r>
        <w:rPr>
          <w:b/>
        </w:rPr>
      </w:r>
    </w:p>
    <w:p>
      <w:pPr>
        <w:pStyle w:val="890"/>
        <w:ind w:left="0" w:firstLine="709"/>
        <w:jc w:val="both"/>
      </w:pPr>
      <w:r>
        <w:t xml:space="preserve">Департамент по управлению государственным имуществом Ханты-Мансийского автономного округа – Югры.</w:t>
      </w:r>
      <w:r/>
    </w:p>
    <w:p>
      <w:pPr>
        <w:pStyle w:val="890"/>
        <w:ind w:left="0" w:firstLine="709"/>
        <w:jc w:val="both"/>
      </w:pPr>
      <w:r/>
      <w:r/>
    </w:p>
    <w:p>
      <w:pPr>
        <w:pStyle w:val="890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Цели установления публичного сервитута.</w:t>
      </w:r>
      <w:r>
        <w:rPr>
          <w:b/>
        </w:rPr>
      </w:r>
      <w:r>
        <w:rPr>
          <w:b/>
        </w:rPr>
      </w:r>
    </w:p>
    <w:p>
      <w:pPr>
        <w:ind w:firstLine="708"/>
        <w:jc w:val="both"/>
        <w:spacing w:after="0"/>
        <w:rPr>
          <w:b/>
        </w:rPr>
      </w:pPr>
      <w:r>
        <w:t xml:space="preserve">Эксплуатация объекта электросетевого хозяйства регионального значения Ханты-Мансийского автономного округа – Югры </w:t>
      </w:r>
      <w:r>
        <w:t xml:space="preserve">«</w:t>
      </w:r>
      <w:r>
        <w:t xml:space="preserve">ПС 110/35/6 кВ Звездная</w:t>
      </w:r>
      <w:r/>
      <w:r>
        <w:t xml:space="preserve">»</w:t>
      </w:r>
      <w:r>
        <w:rPr>
          <w:bCs/>
        </w:rPr>
        <w:t xml:space="preserve">.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after="0"/>
      </w:pPr>
      <w:r/>
      <w:r/>
    </w:p>
    <w:p>
      <w:pPr>
        <w:pStyle w:val="890"/>
        <w:numPr>
          <w:ilvl w:val="0"/>
          <w:numId w:val="2"/>
        </w:numPr>
        <w:ind w:left="0" w:firstLine="709"/>
        <w:jc w:val="both"/>
        <w:spacing w:after="0"/>
        <w:rPr>
          <w:b/>
        </w:rPr>
      </w:pPr>
      <w:r>
        <w:rPr>
          <w:b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18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418" w:right="1276" w:bottom="1134" w:left="1559" w:header="708" w:footer="708" w:gutter="0"/>
          <w:cols w:num="1" w:sep="0" w:space="708" w:equalWidth="1"/>
          <w:docGrid w:linePitch="360"/>
          <w:titlePg/>
        </w:sect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tbl>
      <w:tblPr>
        <w:tblW w:w="14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58"/>
        <w:gridCol w:w="2268"/>
        <w:gridCol w:w="3402"/>
        <w:gridCol w:w="3442"/>
        <w:gridCol w:w="2976"/>
      </w:tblGrid>
      <w:tr>
        <w:tblPrEx/>
        <w:trPr>
          <w:cantSplit/>
          <w:jc w:val="center"/>
          <w:trHeight w:val="20"/>
          <w:tblHeader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 xml:space="preserve">№ п/п</w:t>
            </w:r>
            <w:r>
              <w:rPr>
                <w:rFonts w:cs="Times New Roman"/>
                <w:b/>
                <w:bCs/>
                <w:iCs/>
                <w:sz w:val="22"/>
              </w:rPr>
            </w:r>
            <w:r>
              <w:rPr>
                <w:rFonts w:cs="Times New Roman"/>
                <w:b/>
                <w:bCs/>
                <w:iCs/>
                <w:sz w:val="22"/>
              </w:rPr>
            </w:r>
          </w:p>
        </w:tc>
        <w:tc>
          <w:tcPr>
            <w:shd w:val="clear" w:color="auto" w:fill="auto"/>
            <w:tcW w:w="2058" w:type="dxa"/>
            <w:vAlign w:val="center"/>
            <w:textDirection w:val="lrTb"/>
            <w:noWrap w:val="false"/>
          </w:tcPr>
          <w:p>
            <w:pPr>
              <w:ind w:left="-113" w:right="-108"/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Муниципальное образование</w:t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Кадастровый номер</w:t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Категория земель</w:t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shd w:val="clear" w:color="auto" w:fill="auto"/>
            <w:tcW w:w="3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Адрес (местоположение)</w:t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</w:tc>
        <w:tc>
          <w:tcPr>
            <w:shd w:val="clear" w:color="auto" w:fill="auto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Вид разрешенного</w:t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использования</w:t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</w:tc>
      </w:tr>
      <w:tr>
        <w:tblPrEx/>
        <w:trPr>
          <w:cantSplit/>
          <w:jc w:val="center"/>
          <w:trHeight w:val="20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right"/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auto" w:fill="auto"/>
            <w:tcW w:w="2058" w:type="dxa"/>
            <w:vAlign w:val="center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г. Нефтеюганск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86:20:0000000:59</w:t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Земли населенных пунктов</w:t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auto" w:fill="auto"/>
            <w:tcW w:w="34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jc w:val="center"/>
              <w:spacing w:after="0"/>
            </w:pPr>
            <w:r>
              <w:rPr>
                <w:sz w:val="22"/>
                <w:szCs w:val="22"/>
              </w:rPr>
              <w:t xml:space="preserve">адрес ориентира: Ханты-Мансийский Автономный округ - Югра АО, г Нефтеюганск, Усть-Балыкское </w:t>
            </w:r>
            <w:r/>
            <w:r>
              <w:rPr>
                <w:sz w:val="22"/>
                <w:szCs w:val="22"/>
              </w:rPr>
              <w:t xml:space="preserve">нефтяное месторождение, от подстанции 35/6 кВ № 151 до опоры 28, скважины №№ 791,742, 786, 510,</w:t>
            </w:r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 860, кустов 106,19, ЗУ-508</w:t>
            </w:r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под сооружение, система воздушных линий электропередачи по проводам 6 кВ, для передачи</w:t>
            </w:r>
            <w:r/>
          </w:p>
          <w:p>
            <w:pPr>
              <w:jc w:val="center"/>
              <w:spacing w:after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электроэнергии по проводам</w:t>
            </w:r>
            <w:r/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ffffff" w:fill="ffffff"/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г. Нефтеюганск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86:20:0000060:411</w:t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ffffff" w:fill="ffffff"/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Земли населенных пунктов</w:t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W w:w="3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участка.Ориентир</w:t>
            </w:r>
            <w:r/>
          </w:p>
          <w:p>
            <w:pPr>
              <w:jc w:val="center"/>
              <w:spacing w:after="0"/>
            </w:pPr>
            <w:r>
              <w:rPr>
                <w:sz w:val="22"/>
                <w:szCs w:val="22"/>
              </w:rPr>
              <w:t xml:space="preserve">(жилой дом).Участок находится примерно в 730 метрах, по направлению на запад от ориентира. Почтовый</w:t>
            </w:r>
            <w:r/>
          </w:p>
          <w:p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ориентира: Ханты-Мансийский автономный округ - Югра, г Нефтеюганск, мкр 11-й, д 77</w:t>
            </w:r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  <w:t xml:space="preserve">под строительство объекта «ПС 110/35/6 кВ «Звездная» с ВЛ-110 кВ»</w:t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3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ffffff" w:fill="ffffff"/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г. Нефтеюганск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86:20:0000060:506</w:t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ffffff" w:fill="ffffff"/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Земли населенных пунктов</w:t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W w:w="3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ориентира: Ханты-Мансийский автономный округ - Югра, г.Нефтеюганск, ул.Транспортная,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строение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  <w:t xml:space="preserve">под объект «ПС 110/35/6 кВ Звездная с ВЛ 110 кВ в г.Нефтеюганске»</w:t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ffffff" w:fill="ffffff"/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г. Нефтеюганск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57" w:lineRule="atLeas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86:20:0000060</w:t>
            </w:r>
            <w:r/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shd w:val="clear" w:color="ffffff" w:fill="ffffff"/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Земли населенных пунктов</w:t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eastAsia="Times New Roman"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  <w:r>
              <w:rPr>
                <w:rFonts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W w:w="3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</w:t>
            </w:r>
            <w:r>
              <w:rPr>
                <w:rFonts w:cs="Times New Roman"/>
                <w:color w:val="000000"/>
                <w:sz w:val="22"/>
              </w:rPr>
            </w:r>
          </w:p>
        </w:tc>
      </w:tr>
    </w:tbl>
    <w:p>
      <w:pPr>
        <w:jc w:val="both"/>
        <w:spacing w:after="0" w:line="240" w:lineRule="auto"/>
        <w:rPr>
          <w:b/>
          <w:szCs w:val="28"/>
        </w:rPr>
        <w:sectPr>
          <w:footnotePr/>
          <w:endnotePr/>
          <w:type w:val="nextPage"/>
          <w:pgSz w:w="16838" w:h="11906" w:orient="landscape"/>
          <w:pgMar w:top="1418" w:right="1276" w:bottom="1134" w:left="1559" w:header="709" w:footer="709" w:gutter="0"/>
          <w:cols w:num="1" w:sep="0" w:space="708" w:equalWidth="1"/>
          <w:docGrid w:linePitch="360"/>
        </w:sect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0"/>
        <w:numPr>
          <w:ilvl w:val="0"/>
          <w:numId w:val="2"/>
        </w:numPr>
        <w:ind w:left="0" w:firstLine="709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  <w:t xml:space="preserve">об учете прав на земельные участки, а также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  <w:t xml:space="preserve">с поступившим ходатайством об установлении публичного сервитута.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szCs w:val="28"/>
        </w:rPr>
        <w:br/>
        <w:t xml:space="preserve">к нему схемой расположения границ публичного сервитута: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в Департаменте по управлению государственным имуществом Ханты-Мансийского автономного округа – Югры по адресу: г. Ханты-Мансийск, ул. Ленина, дом 54/1, время приема: понедельник, среда, пятница с 14.00 до 17.00.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Подать заявление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</w:rPr>
        <w:br/>
        <w:t xml:space="preserve">в течение 15 дней с момента публикации настоящего сообщения, </w:t>
      </w:r>
      <w:r>
        <w:rPr>
          <w:szCs w:val="28"/>
          <w:shd w:val="clear" w:color="auto" w:fill="ffffff"/>
        </w:rPr>
        <w:t xml:space="preserve">заинтересованные лица могут:</w:t>
      </w:r>
      <w:r>
        <w:rPr>
          <w:szCs w:val="28"/>
          <w:shd w:val="clear" w:color="auto" w:fill="ffffff"/>
        </w:rPr>
      </w:r>
      <w:r>
        <w:rPr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 xml:space="preserve">Департамент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11" w:tooltip="mailto:dgs@admhmao.ru" w:history="1">
        <w:r>
          <w:rPr>
            <w:rStyle w:val="885"/>
            <w:szCs w:val="28"/>
            <w:lang w:val="en-US"/>
          </w:rPr>
          <w:t xml:space="preserve">dgs</w:t>
        </w:r>
        <w:r>
          <w:rPr>
            <w:rStyle w:val="885"/>
            <w:szCs w:val="28"/>
          </w:rPr>
          <w:t xml:space="preserve">@</w:t>
        </w:r>
        <w:r>
          <w:rPr>
            <w:rStyle w:val="885"/>
            <w:szCs w:val="28"/>
            <w:lang w:val="en-US"/>
          </w:rPr>
          <w:t xml:space="preserve">admhmao</w:t>
        </w:r>
        <w:r>
          <w:rPr>
            <w:rStyle w:val="885"/>
            <w:szCs w:val="28"/>
          </w:rPr>
          <w:t xml:space="preserve">.</w:t>
        </w:r>
        <w:r>
          <w:rPr>
            <w:rStyle w:val="885"/>
            <w:szCs w:val="28"/>
            <w:lang w:val="en-US"/>
          </w:rPr>
          <w:t xml:space="preserve">ru</w:t>
        </w:r>
      </w:hyperlink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Style w:val="885"/>
          <w:szCs w:val="28"/>
        </w:rPr>
      </w:pPr>
      <w:r>
        <w:rPr>
          <w:szCs w:val="28"/>
        </w:rPr>
        <w:t xml:space="preserve">- </w:t>
      </w:r>
      <w:hyperlink r:id="rId12" w:tooltip="https://depgosim.admhmao.ru/" w:history="1">
        <w:r>
          <w:rPr>
            <w:rStyle w:val="885"/>
            <w:szCs w:val="28"/>
            <w:lang w:val="en-US"/>
          </w:rPr>
          <w:t xml:space="preserve">https</w:t>
        </w:r>
        <w:r>
          <w:rPr>
            <w:rStyle w:val="885"/>
            <w:szCs w:val="28"/>
          </w:rPr>
          <w:t xml:space="preserve">://</w:t>
        </w:r>
        <w:r>
          <w:rPr>
            <w:rStyle w:val="885"/>
            <w:szCs w:val="28"/>
            <w:lang w:val="en-US"/>
          </w:rPr>
          <w:t xml:space="preserve">depgosim</w:t>
        </w:r>
        <w:r>
          <w:rPr>
            <w:rStyle w:val="885"/>
            <w:szCs w:val="28"/>
          </w:rPr>
          <w:t xml:space="preserve">.</w:t>
        </w:r>
        <w:r>
          <w:rPr>
            <w:rStyle w:val="885"/>
            <w:szCs w:val="28"/>
            <w:lang w:val="en-US"/>
          </w:rPr>
          <w:t xml:space="preserve">admhmao</w:t>
        </w:r>
        <w:r>
          <w:rPr>
            <w:rStyle w:val="885"/>
            <w:szCs w:val="28"/>
          </w:rPr>
          <w:t xml:space="preserve">.</w:t>
        </w:r>
        <w:r>
          <w:rPr>
            <w:rStyle w:val="885"/>
            <w:szCs w:val="28"/>
            <w:lang w:val="en-US"/>
          </w:rPr>
          <w:t xml:space="preserve">ru</w:t>
        </w:r>
        <w:r>
          <w:rPr>
            <w:rStyle w:val="885"/>
            <w:szCs w:val="28"/>
          </w:rPr>
          <w:t xml:space="preserve">/</w:t>
        </w:r>
      </w:hyperlink>
      <w:r>
        <w:rPr>
          <w:rStyle w:val="885"/>
          <w:szCs w:val="28"/>
        </w:rPr>
      </w:r>
      <w:r>
        <w:rPr>
          <w:rStyle w:val="885"/>
          <w:szCs w:val="28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szCs w:val="28"/>
        </w:rPr>
        <w:t xml:space="preserve">- </w:t>
      </w:r>
      <w:r>
        <w:rPr>
          <w:szCs w:val="28"/>
        </w:rPr>
      </w:r>
      <w:hyperlink r:id="rId13" w:tooltip="https://oktregion.ru/" w:history="1">
        <w:r>
          <w:rPr>
            <w:rStyle w:val="885"/>
            <w:szCs w:val="28"/>
          </w:rPr>
        </w:r>
        <w:r>
          <w:rPr>
            <w:rStyle w:val="885"/>
            <w:szCs w:val="28"/>
          </w:rPr>
          <w:t xml:space="preserve">https://www.admugansk.ru/</w:t>
        </w:r>
        <w:r>
          <w:rPr>
            <w:rStyle w:val="885"/>
            <w:szCs w:val="28"/>
          </w:rPr>
        </w:r>
        <w:r>
          <w:rPr>
            <w:rStyle w:val="885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567"/>
        <w:jc w:val="both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2127" w:hanging="1701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Приложение: Описание местоположения границ публичного сервитута</w:t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first" r:id="rId10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24</w:t>
    </w:r>
    <w:r>
      <w:fldChar w:fldCharType="end"/>
    </w:r>
    <w:r/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t xml:space="preserve">25</w:t>
    </w:r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7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1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2">
    <w:name w:val="Title Char"/>
    <w:basedOn w:val="718"/>
    <w:link w:val="730"/>
    <w:uiPriority w:val="10"/>
    <w:rPr>
      <w:sz w:val="48"/>
      <w:szCs w:val="48"/>
    </w:rPr>
  </w:style>
  <w:style w:type="character" w:styleId="703">
    <w:name w:val="Subtitle Char"/>
    <w:basedOn w:val="718"/>
    <w:link w:val="732"/>
    <w:uiPriority w:val="11"/>
    <w:rPr>
      <w:sz w:val="24"/>
      <w:szCs w:val="24"/>
    </w:rPr>
  </w:style>
  <w:style w:type="character" w:styleId="704">
    <w:name w:val="Quote Char"/>
    <w:link w:val="734"/>
    <w:uiPriority w:val="29"/>
    <w:rPr>
      <w:i/>
    </w:rPr>
  </w:style>
  <w:style w:type="character" w:styleId="705">
    <w:name w:val="Intense Quote Char"/>
    <w:link w:val="736"/>
    <w:uiPriority w:val="30"/>
    <w:rPr>
      <w:i/>
    </w:rPr>
  </w:style>
  <w:style w:type="character" w:styleId="706">
    <w:name w:val="Footnote Text Char"/>
    <w:link w:val="867"/>
    <w:uiPriority w:val="99"/>
    <w:rPr>
      <w:sz w:val="18"/>
    </w:rPr>
  </w:style>
  <w:style w:type="character" w:styleId="707">
    <w:name w:val="Endnote Text Char"/>
    <w:link w:val="870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89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10">
    <w:name w:val="Heading 2"/>
    <w:basedOn w:val="708"/>
    <w:next w:val="708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708"/>
    <w:next w:val="70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Заголовок Знак"/>
    <w:basedOn w:val="718"/>
    <w:link w:val="730"/>
    <w:uiPriority w:val="10"/>
    <w:rPr>
      <w:sz w:val="48"/>
      <w:szCs w:val="48"/>
    </w:rPr>
  </w:style>
  <w:style w:type="paragraph" w:styleId="732">
    <w:name w:val="Subtitle"/>
    <w:basedOn w:val="708"/>
    <w:next w:val="70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basedOn w:val="718"/>
    <w:link w:val="732"/>
    <w:uiPriority w:val="11"/>
    <w:rPr>
      <w:sz w:val="24"/>
      <w:szCs w:val="24"/>
    </w:rPr>
  </w:style>
  <w:style w:type="paragraph" w:styleId="734">
    <w:name w:val="Quote"/>
    <w:basedOn w:val="708"/>
    <w:next w:val="708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8"/>
    <w:next w:val="708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8"/>
    <w:uiPriority w:val="99"/>
  </w:style>
  <w:style w:type="character" w:styleId="739" w:customStyle="1">
    <w:name w:val="Footer Char"/>
    <w:basedOn w:val="718"/>
    <w:uiPriority w:val="99"/>
  </w:style>
  <w:style w:type="paragraph" w:styleId="740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1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5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5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4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8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2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6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7">
    <w:name w:val="footnote text"/>
    <w:basedOn w:val="708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8"/>
    <w:uiPriority w:val="99"/>
    <w:unhideWhenUsed/>
    <w:rPr>
      <w:vertAlign w:val="superscript"/>
    </w:rPr>
  </w:style>
  <w:style w:type="paragraph" w:styleId="870">
    <w:name w:val="endnote text"/>
    <w:basedOn w:val="708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8"/>
    <w:uiPriority w:val="99"/>
    <w:semiHidden/>
    <w:unhideWhenUsed/>
    <w:rPr>
      <w:vertAlign w:val="superscript"/>
    </w:rPr>
  </w:style>
  <w:style w:type="paragraph" w:styleId="873">
    <w:name w:val="toc 1"/>
    <w:basedOn w:val="708"/>
    <w:next w:val="708"/>
    <w:uiPriority w:val="39"/>
    <w:unhideWhenUsed/>
    <w:pPr>
      <w:spacing w:after="57"/>
    </w:pPr>
  </w:style>
  <w:style w:type="paragraph" w:styleId="874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5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6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7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8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79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0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1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8"/>
    <w:next w:val="708"/>
    <w:uiPriority w:val="99"/>
    <w:unhideWhenUsed/>
    <w:pPr>
      <w:spacing w:after="0"/>
    </w:pPr>
  </w:style>
  <w:style w:type="table" w:styleId="884">
    <w:name w:val="Table Grid"/>
    <w:basedOn w:val="7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5">
    <w:name w:val="Hyperlink"/>
    <w:basedOn w:val="718"/>
    <w:uiPriority w:val="99"/>
    <w:unhideWhenUsed/>
    <w:rPr>
      <w:color w:val="0563c1" w:themeColor="hyperlink"/>
      <w:u w:val="single"/>
    </w:rPr>
  </w:style>
  <w:style w:type="paragraph" w:styleId="886">
    <w:name w:val="Header"/>
    <w:basedOn w:val="708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718"/>
    <w:link w:val="886"/>
    <w:uiPriority w:val="99"/>
  </w:style>
  <w:style w:type="paragraph" w:styleId="888">
    <w:name w:val="Footer"/>
    <w:basedOn w:val="708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718"/>
    <w:link w:val="888"/>
    <w:uiPriority w:val="99"/>
  </w:style>
  <w:style w:type="paragraph" w:styleId="890">
    <w:name w:val="List Paragraph"/>
    <w:basedOn w:val="708"/>
    <w:uiPriority w:val="34"/>
    <w:qFormat/>
    <w:pPr>
      <w:contextualSpacing/>
      <w:ind w:left="720"/>
    </w:pPr>
  </w:style>
  <w:style w:type="paragraph" w:styleId="891">
    <w:name w:val="No Spacing"/>
    <w:uiPriority w:val="1"/>
    <w:qFormat/>
    <w:pPr>
      <w:spacing w:after="0" w:line="240" w:lineRule="auto"/>
    </w:pPr>
  </w:style>
  <w:style w:type="character" w:styleId="892" w:customStyle="1">
    <w:name w:val="Заголовок 1 Знак"/>
    <w:basedOn w:val="718"/>
    <w:link w:val="70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93">
    <w:name w:val="FollowedHyperlink"/>
    <w:basedOn w:val="718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dgs@admhmao.ru" TargetMode="External"/><Relationship Id="rId12" Type="http://schemas.openxmlformats.org/officeDocument/2006/relationships/hyperlink" Target="https://depgosim.admhmao.ru/" TargetMode="External"/><Relationship Id="rId13" Type="http://schemas.openxmlformats.org/officeDocument/2006/relationships/hyperlink" Target="https://oktregio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revision>20</cp:revision>
  <dcterms:created xsi:type="dcterms:W3CDTF">2023-03-09T13:46:00Z</dcterms:created>
  <dcterms:modified xsi:type="dcterms:W3CDTF">2025-05-28T12:10:29Z</dcterms:modified>
</cp:coreProperties>
</file>