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107F80">
        <w:rPr>
          <w:rFonts w:ascii="Times New Roman" w:eastAsia="Calibri" w:hAnsi="Times New Roman" w:cs="Times New Roman"/>
          <w:b/>
          <w:sz w:val="28"/>
          <w:szCs w:val="28"/>
        </w:rPr>
        <w:t xml:space="preserve">лесном </w:t>
      </w: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  <w:bookmarkEnd w:id="0"/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заслушав решение комиссии по экономическому развитию и вопросам местного самоуправления,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городе Нефтеюганске, утверждённое решением Думы от 26.08.2021 №100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Председатель Думы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Чекунов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Миннигулов</w:t>
      </w:r>
      <w:proofErr w:type="spellEnd"/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proofErr w:type="gramStart"/>
      <w:r w:rsidR="001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лесном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контроле</w:t>
      </w:r>
      <w:proofErr w:type="gramEnd"/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8C34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proofErr w:type="gramStart"/>
      <w:r w:rsidR="00DD285E">
        <w:t>1.Настоящее</w:t>
      </w:r>
      <w:proofErr w:type="gramEnd"/>
      <w:r w:rsidR="00DD285E">
        <w:t xml:space="preserve"> </w:t>
      </w:r>
      <w:r w:rsidR="006D4639" w:rsidRPr="006D4639">
        <w:t xml:space="preserve">Положение о муниципальном </w:t>
      </w:r>
      <w:r w:rsidR="00107F80">
        <w:t>лесном</w:t>
      </w:r>
      <w:r w:rsidR="006D4639" w:rsidRPr="006D4639">
        <w:t xml:space="preserve">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</w:t>
      </w:r>
      <w:r w:rsidR="00107F80">
        <w:t>лесного</w:t>
      </w:r>
      <w:r w:rsidR="00C150C3" w:rsidRPr="00C150C3">
        <w:t xml:space="preserve">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 w:rsidR="001E5C55" w:rsidRPr="001E5C55"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контроля, применяются положения Федерального закона </w:t>
      </w:r>
      <w:proofErr w:type="gramStart"/>
      <w:r w:rsidR="001E5C55" w:rsidRPr="001E5C55">
        <w:t>от  31.07.2020</w:t>
      </w:r>
      <w:proofErr w:type="gramEnd"/>
      <w:r w:rsidR="001E5C55" w:rsidRPr="001E5C55">
        <w:t xml:space="preserve">  №248-ФЗ «О государственном контроле (надзоре) и муниципальном контроле в Российской Федерации» (далее – Закон №248-ФЗ), Лесного кодекса Российской Федерации</w:t>
      </w:r>
      <w:r w:rsidR="001E5C55">
        <w:t>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4.Объектами</w:t>
      </w:r>
      <w:proofErr w:type="gramEnd"/>
      <w:r>
        <w:t xml:space="preserve"> муниципального контроля являются:</w:t>
      </w:r>
    </w:p>
    <w:p w:rsidR="00476CD7" w:rsidRDefault="00476CD7" w:rsidP="00476CD7">
      <w:pPr>
        <w:pStyle w:val="ConsPlusNormal"/>
        <w:ind w:firstLine="567"/>
        <w:jc w:val="both"/>
      </w:pPr>
      <w: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76CD7" w:rsidRDefault="00476CD7" w:rsidP="00476CD7">
      <w:pPr>
        <w:pStyle w:val="ConsPlusNormal"/>
        <w:ind w:firstLine="567"/>
        <w:jc w:val="both"/>
      </w:pPr>
      <w:r>
        <w:t>2)лесные участки, находящиеся в муниципальной собственности, здания, помещения, сооружения, линейные объекты,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требования лесного законодательства (далее – производственные объекты).</w:t>
      </w:r>
    </w:p>
    <w:p w:rsidR="006D4639" w:rsidRPr="006D4639" w:rsidRDefault="00761B10" w:rsidP="00476CD7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размещенного на официальном сайте в информационно-телекоммуникационной сети Интернет;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</w:t>
      </w:r>
      <w:proofErr w:type="gramStart"/>
      <w:r>
        <w:t>6.</w:t>
      </w:r>
      <w:r w:rsidR="00761B10" w:rsidRPr="00761B10">
        <w:t>Предметом</w:t>
      </w:r>
      <w:proofErr w:type="gramEnd"/>
      <w:r w:rsidR="00761B10" w:rsidRPr="00761B10">
        <w:t xml:space="preserve"> муниципального контроля являются</w:t>
      </w:r>
      <w:r w:rsidR="00761B10">
        <w:t>:</w:t>
      </w:r>
    </w:p>
    <w:p w:rsidR="00107F80" w:rsidRDefault="00761B10" w:rsidP="003F1105">
      <w:pPr>
        <w:pStyle w:val="ConsPlusNormal"/>
        <w:ind w:firstLine="567"/>
        <w:jc w:val="both"/>
      </w:pPr>
      <w:r>
        <w:t>1.6.1.</w:t>
      </w:r>
      <w:r w:rsidR="00107F80">
        <w:t>С</w:t>
      </w:r>
      <w:r w:rsidR="00107F80" w:rsidRPr="00107F80">
        <w:t xml:space="preserve">облюдение юридическими лицами, индивидуальными предпринимателями и гражданами </w:t>
      </w:r>
      <w:r w:rsidR="009402E7">
        <w:t xml:space="preserve">(далее – контролируемые лица) </w:t>
      </w:r>
      <w:r w:rsidR="00107F80" w:rsidRPr="00107F80">
        <w:t xml:space="preserve">в </w:t>
      </w:r>
      <w:r w:rsidR="00107F80" w:rsidRPr="00107F80">
        <w:lastRenderedPageBreak/>
        <w:t>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9402E7">
        <w:t xml:space="preserve"> (далее – обязательные  требования)</w:t>
      </w:r>
      <w:r w:rsidR="00107F80" w:rsidRPr="00107F80">
        <w:t xml:space="preserve">. </w:t>
      </w:r>
    </w:p>
    <w:p w:rsidR="003F1105" w:rsidRDefault="00761B10" w:rsidP="003F1105">
      <w:pPr>
        <w:pStyle w:val="ConsPlusNormal"/>
        <w:ind w:firstLine="567"/>
        <w:jc w:val="both"/>
        <w:rPr>
          <w:i/>
        </w:rPr>
      </w:pPr>
      <w:r>
        <w:t>1.6.</w:t>
      </w:r>
      <w:proofErr w:type="gramStart"/>
      <w:r>
        <w:t>2.</w:t>
      </w:r>
      <w:r w:rsidR="00666156">
        <w:t>И</w:t>
      </w:r>
      <w:r w:rsidR="00666156" w:rsidRPr="00666156">
        <w:t>сполнение</w:t>
      </w:r>
      <w:proofErr w:type="gramEnd"/>
      <w:r w:rsidR="00666156" w:rsidRPr="00666156">
        <w:t xml:space="preserve"> решений, принимаемых по результатам контрольных мероприятий.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</w:t>
      </w:r>
      <w:proofErr w:type="gramStart"/>
      <w:r>
        <w:t>7.Муниципальный</w:t>
      </w:r>
      <w:proofErr w:type="gramEnd"/>
      <w:r>
        <w:t xml:space="preserve">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</w:t>
      </w:r>
      <w:proofErr w:type="gramStart"/>
      <w:r>
        <w:t>8.Муниципальный</w:t>
      </w:r>
      <w:proofErr w:type="gramEnd"/>
      <w:r>
        <w:t xml:space="preserve">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D37507" w:rsidP="005D743F">
      <w:pPr>
        <w:pStyle w:val="ConsPlusNormal"/>
        <w:ind w:firstLine="567"/>
        <w:jc w:val="both"/>
      </w:pPr>
      <w: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5D743F" w:rsidRDefault="005D743F" w:rsidP="005D743F">
      <w:pPr>
        <w:pStyle w:val="ConsPlusNormal"/>
        <w:ind w:firstLine="567"/>
        <w:jc w:val="both"/>
      </w:pPr>
      <w:r>
        <w:t>1.</w:t>
      </w:r>
      <w:proofErr w:type="gramStart"/>
      <w:r>
        <w:t>9.Принятие</w:t>
      </w:r>
      <w:proofErr w:type="gramEnd"/>
      <w:r>
        <w:t xml:space="preserve"> решений о проведении контрольных мероприятий осуществляет руководитель  контрольного органа.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целевые значения, индикативные показатели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риска причинения вреда (ущерба) при принятии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 в сети Интернет,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075CFE" w:rsidRPr="00075CFE" w:rsidRDefault="00075CFE" w:rsidP="0012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нарушениях обязательных требований или признаках нарушений обязательных требований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proofErr w:type="gramStart"/>
      <w:r w:rsidR="00D10A10">
        <w:t>1.</w:t>
      </w:r>
      <w:r w:rsidR="00F62FA6">
        <w:t>Консультирование</w:t>
      </w:r>
      <w:proofErr w:type="gramEnd"/>
      <w:r w:rsidR="00F62FA6">
        <w:t xml:space="preserve">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2.Консультирование</w:t>
      </w:r>
      <w:proofErr w:type="gramEnd"/>
      <w:r>
        <w:t xml:space="preserve">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3.Если</w:t>
      </w:r>
      <w:proofErr w:type="gramEnd"/>
      <w:r>
        <w:t xml:space="preserve">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</w:t>
      </w:r>
      <w:r>
        <w:lastRenderedPageBreak/>
        <w:t>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5.Контрольный</w:t>
      </w:r>
      <w:proofErr w:type="gramEnd"/>
      <w: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профилактический визит проводится в 15 порядке,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</w:t>
      </w: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7A137B" w:rsidP="007A137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137B" w:rsidRDefault="007A137B" w:rsidP="007A137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D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13DDD">
        <w:rPr>
          <w:rFonts w:ascii="Times New Roman" w:hAnsi="Times New Roman" w:cs="Times New Roman"/>
          <w:sz w:val="28"/>
          <w:szCs w:val="28"/>
        </w:rPr>
        <w:t xml:space="preserve">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ыездное</w:t>
      </w:r>
      <w:proofErr w:type="gramEnd"/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указанном в абзаце третьем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исполнением решения контрольного органа, а также определение случаев (оснований) и условий внесения изменений в решения контрольного органа осуществляется контрольным органов, вынесшим решение, в порядке, утвержденном муниципальным правовым актом органа местного самоуправления. </w:t>
      </w:r>
    </w:p>
    <w:p w:rsidR="00BE2155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D140D" w:rsidRDefault="006D140D" w:rsidP="00BF1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1.Решения</w:t>
      </w:r>
      <w:proofErr w:type="gramEnd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2.Досудебное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3.Контролируемые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4.Жалобу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подает в соответствии со статьями 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действие (бездействие) руководителя или лица его замещающего органа муниципального контроля рассматривается главой города Нефтеюганска, курирующим направление деятельности органа муниципального контроля.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86D" w:rsidRDefault="00F9686D"/>
    <w:sectPr w:rsidR="00F9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365FF"/>
    <w:rsid w:val="00075CFE"/>
    <w:rsid w:val="000A5B25"/>
    <w:rsid w:val="00107F80"/>
    <w:rsid w:val="001208A6"/>
    <w:rsid w:val="001214A8"/>
    <w:rsid w:val="0015401C"/>
    <w:rsid w:val="001735E2"/>
    <w:rsid w:val="00176415"/>
    <w:rsid w:val="001A4127"/>
    <w:rsid w:val="001B1B36"/>
    <w:rsid w:val="001E5C55"/>
    <w:rsid w:val="001F7629"/>
    <w:rsid w:val="00242122"/>
    <w:rsid w:val="002773EE"/>
    <w:rsid w:val="002A7A19"/>
    <w:rsid w:val="002C0780"/>
    <w:rsid w:val="002C5F03"/>
    <w:rsid w:val="00313DDD"/>
    <w:rsid w:val="0034064B"/>
    <w:rsid w:val="00383878"/>
    <w:rsid w:val="003A6450"/>
    <w:rsid w:val="003F1105"/>
    <w:rsid w:val="00476CD7"/>
    <w:rsid w:val="00486483"/>
    <w:rsid w:val="004C2845"/>
    <w:rsid w:val="00502D5D"/>
    <w:rsid w:val="00547C1B"/>
    <w:rsid w:val="005D743F"/>
    <w:rsid w:val="005E46FE"/>
    <w:rsid w:val="00613949"/>
    <w:rsid w:val="00627C25"/>
    <w:rsid w:val="00666156"/>
    <w:rsid w:val="00667E17"/>
    <w:rsid w:val="00683F81"/>
    <w:rsid w:val="006A4A05"/>
    <w:rsid w:val="006D140D"/>
    <w:rsid w:val="006D4639"/>
    <w:rsid w:val="007354C2"/>
    <w:rsid w:val="00750ED7"/>
    <w:rsid w:val="00761B10"/>
    <w:rsid w:val="007972E3"/>
    <w:rsid w:val="00797846"/>
    <w:rsid w:val="007A137B"/>
    <w:rsid w:val="007E7853"/>
    <w:rsid w:val="00893999"/>
    <w:rsid w:val="008A68D0"/>
    <w:rsid w:val="008B18F0"/>
    <w:rsid w:val="008C342A"/>
    <w:rsid w:val="00930106"/>
    <w:rsid w:val="00931D44"/>
    <w:rsid w:val="009402E7"/>
    <w:rsid w:val="009B4B5D"/>
    <w:rsid w:val="009D3C06"/>
    <w:rsid w:val="009E135C"/>
    <w:rsid w:val="00AE50EB"/>
    <w:rsid w:val="00AF0C49"/>
    <w:rsid w:val="00AF5193"/>
    <w:rsid w:val="00B8448D"/>
    <w:rsid w:val="00B92821"/>
    <w:rsid w:val="00BC203B"/>
    <w:rsid w:val="00BE2155"/>
    <w:rsid w:val="00BF1052"/>
    <w:rsid w:val="00C150C3"/>
    <w:rsid w:val="00C31A83"/>
    <w:rsid w:val="00C62505"/>
    <w:rsid w:val="00C96597"/>
    <w:rsid w:val="00CD1626"/>
    <w:rsid w:val="00D05836"/>
    <w:rsid w:val="00D10A10"/>
    <w:rsid w:val="00D20A34"/>
    <w:rsid w:val="00D2509A"/>
    <w:rsid w:val="00D37507"/>
    <w:rsid w:val="00D47644"/>
    <w:rsid w:val="00D55063"/>
    <w:rsid w:val="00DA1FBB"/>
    <w:rsid w:val="00DB2943"/>
    <w:rsid w:val="00DD285E"/>
    <w:rsid w:val="00DE03C2"/>
    <w:rsid w:val="00E323E9"/>
    <w:rsid w:val="00E53B14"/>
    <w:rsid w:val="00EA2A43"/>
    <w:rsid w:val="00F62FA6"/>
    <w:rsid w:val="00F87DE6"/>
    <w:rsid w:val="00F9686D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525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18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2025-03-24T09:23:00Z</dcterms:created>
  <dcterms:modified xsi:type="dcterms:W3CDTF">2025-04-11T06:41:00Z</dcterms:modified>
</cp:coreProperties>
</file>