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Перечень мер государственной поддержки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коренных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малочисленных народов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Севера, реализуемых в 20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году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Ханты-Мансийско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автономно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округ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 – Югре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 соответствии с государственной программой </w:t>
        <w:br/>
        <w:t xml:space="preserve">Ханты-Мансийского автономного округа – Югры «Устойчивое развитие коренных малочисленных народов Севера»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tabs>
          <w:tab w:val="left" w:pos="1751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Поддержка в сфере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защиты исконной среды обитания,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сохранения и развития традиционных образа жизни, хозяйствования и промыслов коренных малочисленны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 народов Севера.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субсидии на продукцию охоты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(рассчитывается по ставкам субсидии)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субсидий на обустройство земельных участков территорий традиционного природопользования,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лесных участков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предназначенных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ведения традиционной хозяйственной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(рассчитывается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ставкам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компенсации части затрат на приобретение материально-технических средств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(рассчитывается по ставкам субсидии)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компенсации части затрат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приобретение северных оленей (размер субсидии составляет 70% от стоимости приобретенных северных оленей, но не более 20 тыс. рублей на 1 оленя);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единовременной финансовой помощи молодым специалистам из числа коренных малочисленных народов, работающим в местах традиционного проживания и традиционной хозяйственной деятельности, на обустройство быта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(размер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финансовой помощи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составляет 300 тыс.рублей)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компенсации расходов на оплату обучения правилам безопасного обращения с оружием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управлению самоходными машинами категории «А», управлению маломерными судами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оплату проезда к месту нахождения организаций,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право проводить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указанные виды обучения, и обратно: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оплату обучения правилам безопасного обращения с оружием и оплату проезда к месту нахождения организации, проводившей обучение, и обратно - не более 10 тысяч рублей;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оплату обучения управлению самоходными машинами категории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на оплату проезда к месту нахождения организации, проводившей обучение, и обратно - не более 19 тысяч рублей;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оплату обучения управлению маломерными судами и на оплату проезда к месту нахождения организации, проводившей обучение, и обратно - не более 22 тысяч рублей.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Предоставление субсидии на возмещение затрат коммунальных услуг, понесенных в ходе заготовки и переработки продукции традиционно-хозяйственной деятельности.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Основные требования, которым должен соответствовать заявитель: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принадлежность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коренным малочисленным народам Севера автономного округа;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регистрация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месту жительства на территории автономного округа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нахождение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Реестре территорий традиционного природопользования коренных малочисленных народов регионального значения в соответствии с постановлением Правительства автономного округа от 1 июля 2008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140-п, либо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регистрация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месту жительства на территории автономного округа в местах традиционного проживания и традиционной хозяйственной деятельности коренных малочисленных народов Севера, утвержденных распоряжением Правительства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08.05.2009 № 631-р.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информацией о предоставлении мер поддержки можно обратиться к сотрудникам Департамента недропользования и природных ресурсов Ханты-Мансийского автономного округа – Югры: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Коноплянко Ольга Сергеевна – заместитель начальника управления – начальник отдела по работе с территориями традиционного природопользования Управления традиционного хозяйствования коренных малочисленных народов Севера,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телефон: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8(3467)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360-110, доб. 3026,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KonoplyankoOS@admhmao.ru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Нарышкина Таисия Сергеевна – консультант отдела по работе с территориями традиционного природопользования Управления традиционного хозяйствования коренных малочисленных народов Севера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телефон: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8(3467)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360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110, доб. 3027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NarishkinaTS@admhmao.ru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Юридический и фактический адрес Департамента недропользования и природных ресурсов Ханты-Мансийского автономного округа – Югры:  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ул. Студенческая, 2,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г. Ханты - Мансийск, Ханты-Мансийский автономный округ – Югра (Тюменская область), 628011, Телефон для справок: (3467) 360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  <w:lang w:val="en-US"/>
        </w:rPr>
        <w:t xml:space="preserve">-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110 (многоканальный),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доб.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номер: 3151; 3085 </w:t>
        <w:br/>
        <w:t xml:space="preserve">Факс: (3467)326-303 Email: </w:t>
      </w:r>
      <w:hyperlink r:id="rId11" w:tooltip="mailto:ugrales@admhmao.ru" w:history="1">
        <w:r>
          <w:rPr>
            <w:rStyle w:val="930"/>
            <w:rFonts w:ascii="Times New Roman" w:hAnsi="Times New Roman" w:eastAsia="Arial" w:cs="Times New Roman"/>
            <w:b w:val="0"/>
            <w:bCs w:val="0"/>
            <w:color w:val="000000" w:themeColor="text1"/>
            <w:sz w:val="28"/>
            <w:szCs w:val="28"/>
            <w:highlight w:val="white"/>
          </w:rPr>
          <w:t xml:space="preserve">depprirod@admhmao.ru</w:t>
        </w:r>
      </w:hyperlink>
      <w:r>
        <w:t xml:space="preserve">.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Поддержка в сфере социальной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защиты.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материальной (финансовой) помощи мало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обеспеченным гражданам (семьям):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компенсация стоимости проезда к месту прохождения стационарного лечения и обратно предоставляется Получателю в сумме фактических расходов, но не более 20 тыс. руб. на каждого человека в год;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компенсация расходов по приобретению одежды для ребенка (детей) предоставляется одному из родителей (законному представителю) из числа малообеспеченных граждан 1 раз в год в сумме фактически понесенных расходов, но не более: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7 453 руб.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каждого ребенка дошкольного возраста,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7 975 руб.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каждого ребенка школьного возраста;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компенсация расходов, связанных с перевозкой тела умершего к населенному пункту автономного округа, на территории которого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аходится место захоронения, предоставляется Получателю, проживающему на территории автономного округа, в случае смерти близкого родственника (отец, мать, муж, жена, дети, бабушка, дедушка, родные: брат, сестра) в период прохождения стационарного лечения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медицинских организациях, расположенных на территории автономного округа, вне населенного пункта проживания, если обращение за ней последовало не позднее 6 месяцев со дня смерти, в сумме фактически понесенных расходов, но не более: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 руб.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транспортные расходы по перевозке тела умершего от населенного пункта, в котором он проходил стационарное лечение,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9 000 руб.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проезд гражданина, сопровождающего тело умершего, от места его жительства в автономном округе до медицинской организации и до населенного пункта автономного округа, на территории которого находится место захоронения.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связи с рождением и воспитанием детей – единовременное пособие при рождении ребенка, единовременное пособие при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одновременном рождении двух и более детей, единовременное пособие при рождении третьего и последующих детей, единовременное пособие при рождении первого ребенка в течение двух лет со дня 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егистрации его родителями брака в органах записи актов гражданского состояния, ежемесячное пособие по уходу за ребенком от полутора до 3-х лет, от 3-х до 4-х лет, ежемесячная денежная выплата семьям в случае рождения третьего ребенка или последующих детей;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связи с подготовкой детей к школе – единовременное пособие при поступлении ребенка (детей) в первый класс общеобразовательной организации, единовременное пособие для подготовки ребенка (детей) из многодетной семьи к началу учебного года;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связи с низким уровнем дохода – ежемесячное пособие на ребенка (детей), государственная социальная помощь;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связи с оплатой жилищно-коммунальных услуг – компенсация в размере 50% расходов на оплату коммунальных услуг многодетным семьям.</w:t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Государственная поддержка (в виде пособия) на детей, проживающих в местах традиционного проживания и традиционной хозяйственной деятельности коренных малочисленных народов Севера, где отсутствуют дошкольные образовательные организации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информацией о предоставлении мер поддержки можно обратиться 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Габбасовой Анне Николаевне,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начальнику отдела организации назначений и выплат социальных пособий Управления социальной поддержки и помощи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Департамента социального развития 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телефон: 8(3467) 32-20-40 </w:t>
        <w:br/>
        <w:t xml:space="preserve">доб. 36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07.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Контакт центр: 8-800-301-444-3</w:t>
      </w:r>
      <w:r>
        <w:rPr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Департамента социального развития Ханты-Мансийского автономного округа – Югры: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юридический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адрес: 628011, Тюменская область, Ханты-Мансийс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кий автономный округ – Югра, г.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Ханты-Мансийс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к, ул.Мира, д.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фактический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адрес: 628011, Тюменская область, Ханты-Мансийс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кий автономный округ – Югра, г.Ханты-Мансийск, ул.Мира, д.14А, телефон приемной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8(3467)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32-20-40 (доб. 3602,);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8(3467)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32-93-15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 адрес сайта: </w:t>
      </w:r>
      <w:hyperlink r:id="rId12" w:tooltip="http://www.depsr.admhmao.ru/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depsr.admhmao.ru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13" w:tooltip="mailto:Socprotect@admhmao.ru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Socprotect@admhmao.ru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32"/>
        <w:ind w:left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Поддержка в сфере образования.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компенсацию оплаты обучения и материальной (финансовой) поддержки имеют граждане Российской Федерации из числа коренных малочисленных народов Севера, проживающие на территории Ханты-Мансийского автономного округа – Югры: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</w:t>
      </w:r>
      <w:r>
        <w:rPr>
          <w:rFonts w:ascii="Times New Roman" w:hAnsi="Times New Roman" w:cs="Times New Roman"/>
          <w:sz w:val="28"/>
          <w:szCs w:val="28"/>
        </w:rPr>
        <w:t xml:space="preserve">бучающиеся в профессиональных образовательных организациях и образовательных организациях высшего образования, в соответствии с Региональным перечнем профессий, специальностей, направле</w:t>
      </w:r>
      <w:r>
        <w:rPr>
          <w:rFonts w:ascii="Times New Roman" w:hAnsi="Times New Roman" w:cs="Times New Roman"/>
          <w:sz w:val="28"/>
          <w:szCs w:val="28"/>
        </w:rPr>
        <w:t xml:space="preserve">ний подготовки, связанных с осуществлением традиционных видов хозяйственной деятельности, развитием самобытной культуры и родных языков коренных малочисленных народов Севера (далее – Региональный перечень), утвержденным приказом Департамента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науки</w:t>
      </w:r>
      <w:r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 xml:space="preserve">го округа (далее – Компенсация)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обучающимся очной формы обучения в образовательных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анизациях высшего образования – </w:t>
      </w:r>
      <w:r>
        <w:rPr>
          <w:rFonts w:ascii="Times New Roman" w:hAnsi="Times New Roman" w:cs="Times New Roman"/>
          <w:sz w:val="28"/>
          <w:szCs w:val="28"/>
        </w:rPr>
        <w:t xml:space="preserve">не более 150 000 рублей за учебный 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обучающимся заочной формы обучения в образовательных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анизациях высшего образования – </w:t>
      </w:r>
      <w:r>
        <w:rPr>
          <w:rFonts w:ascii="Times New Roman" w:hAnsi="Times New Roman" w:cs="Times New Roman"/>
          <w:sz w:val="28"/>
          <w:szCs w:val="28"/>
        </w:rPr>
        <w:t xml:space="preserve">не более 100 000 рублей за учебный 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обучающимся очной формы обучения в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– </w:t>
      </w:r>
      <w:r>
        <w:rPr>
          <w:rFonts w:ascii="Times New Roman" w:hAnsi="Times New Roman" w:cs="Times New Roman"/>
          <w:sz w:val="28"/>
          <w:szCs w:val="28"/>
        </w:rPr>
        <w:t xml:space="preserve">не более 100 000 рублей за учебный 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обучающимся заочной формы обучения в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– </w:t>
      </w:r>
      <w:r>
        <w:rPr>
          <w:rFonts w:ascii="Times New Roman" w:hAnsi="Times New Roman" w:cs="Times New Roman"/>
          <w:sz w:val="28"/>
          <w:szCs w:val="28"/>
        </w:rPr>
        <w:t xml:space="preserve">не более 50 000 рублей за учебный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обучающимся очно-заочной формы в образовательных орг</w:t>
      </w:r>
      <w:r>
        <w:rPr>
          <w:rFonts w:ascii="Times New Roman" w:hAnsi="Times New Roman" w:cs="Times New Roman"/>
          <w:sz w:val="28"/>
          <w:szCs w:val="28"/>
        </w:rPr>
        <w:t xml:space="preserve">анизациях высшего образования – </w:t>
      </w:r>
      <w:r>
        <w:rPr>
          <w:rFonts w:ascii="Times New Roman" w:hAnsi="Times New Roman" w:cs="Times New Roman"/>
          <w:sz w:val="28"/>
          <w:szCs w:val="28"/>
        </w:rPr>
        <w:t xml:space="preserve">не более 100 000 рублей за учебный год;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обучающимся очно-заочной формы в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– </w:t>
      </w:r>
      <w:r>
        <w:rPr>
          <w:rFonts w:ascii="Times New Roman" w:hAnsi="Times New Roman" w:cs="Times New Roman"/>
          <w:sz w:val="28"/>
          <w:szCs w:val="28"/>
        </w:rPr>
        <w:t xml:space="preserve">не бол</w:t>
      </w:r>
      <w:r>
        <w:rPr>
          <w:rFonts w:ascii="Times New Roman" w:hAnsi="Times New Roman" w:cs="Times New Roman"/>
          <w:sz w:val="28"/>
          <w:szCs w:val="28"/>
        </w:rPr>
        <w:t xml:space="preserve">ее 50 000 рублей за учебный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Производится при условиях: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заключения договора, предусматривающего обязательства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трудоустройству и дальнейшей трудовой занятости по полученной специальности в течение 3 лет на территории автономного округа после получения среднего профессионального или высшего образования обучающихся в профессиональных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образовательных организациях высшего образования,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Региональным перечнем про</w:t>
      </w:r>
      <w:r>
        <w:rPr>
          <w:rFonts w:ascii="Times New Roman" w:hAnsi="Times New Roman" w:cs="Times New Roman"/>
          <w:sz w:val="28"/>
          <w:szCs w:val="28"/>
        </w:rPr>
        <w:t xml:space="preserve">фессий, специальностей, направлений подготовки, связанных с осуществлением традиционных видов хозяйственной деятельности, развитием самобытной культуры и родных языков коренных малочисленных народов Севера, утвержденным приказом Департамента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науки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округа;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обучающийся получает образование данного уровня впервые.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Компенсация производится за текущий финансовый год.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Обучающиеся, признанные в установленном порядке малообеспеченными гражданами, обучающи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ся в профессиональных образовательных организациях и образовательных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Выплата пособий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дополнительное ежемесячное пособие в размере: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2 171 рубль для обучающихся по программам подготовки специалистов среднего звена среднего профессионального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4 194 рубля для обучающихся по программам высшего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пособие на питание в размере 106 рублей в день;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ежегодное пособие на приобретение учебной литературы </w:t>
      </w:r>
      <w:r>
        <w:rPr>
          <w:rFonts w:ascii="Times New Roman" w:hAnsi="Times New Roman" w:cs="Times New Roman"/>
          <w:sz w:val="28"/>
          <w:szCs w:val="28"/>
        </w:rPr>
        <w:br/>
        <w:t xml:space="preserve">и письменных принадлежностей обучающимся по программам: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12 582 рублей – </w:t>
      </w:r>
      <w:r>
        <w:rPr>
          <w:rFonts w:ascii="Times New Roman" w:hAnsi="Times New Roman" w:cs="Times New Roman"/>
          <w:sz w:val="28"/>
          <w:szCs w:val="28"/>
        </w:rPr>
        <w:t xml:space="preserve">высшего образования;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6 513 рубль – </w:t>
      </w:r>
      <w:r>
        <w:rPr>
          <w:rFonts w:ascii="Times New Roman" w:hAnsi="Times New Roman" w:cs="Times New Roman"/>
          <w:sz w:val="28"/>
          <w:szCs w:val="28"/>
        </w:rPr>
        <w:t xml:space="preserve">подготовки специалистов среднего звена;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4 574 рублей –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квалифицированных рабочих, служащих.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единовременное пособие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одежды и обуви,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по программам высшего образования и подготовки специалистов среднего звена среднего профессионального образования в размере: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40 000 рублей для студентов первого курса (после первой сессии);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50 000 рублей для студентов выпускного курса (после предоставления копии диплома в текущем финансовом году).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по договорам о целевом обучении очной формы обучения предоставляется ежемесячное пособие в размере прожиточного минимума, установленного в Ханты-Мансийском автономном округе - Югре (в среднем на душу населения).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Компенсация расходов: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за проживание в общежитии обучающимся очной формы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договорной основе;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по проезду на каникулы от места учебы до места жительства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обратно один раз в течение учебного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пособий и компенсация расходов осуществляются в случаях, если: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обучение осуществляется по очной форме;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обучающийся получает образование данного уровня впервые.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обучающиеся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профессиональных образовательных организациях и образовательных организациях высшего образования, в соответствии с Региональным перечнем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признанные в установленном порядке малообеспеченными гражданами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имеют право на компенсацию оплаты обучения.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получения мер государственной поддержки необходимо предоставить следующие документы: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ind w:firstLine="709"/>
        <w:jc w:val="both"/>
        <w:tabs>
          <w:tab w:val="left" w:pos="284" w:leader="none"/>
          <w:tab w:val="num" w:pos="851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 форме, утвержденной Департаментом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науки</w:t>
      </w:r>
      <w:r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https://depobr-molod.admhmao.ru/obrazovanie-v-yugre/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709"/>
        <w:jc w:val="both"/>
        <w:tabs>
          <w:tab w:val="left" w:pos="284" w:leader="none"/>
          <w:tab w:val="num" w:pos="851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709"/>
        <w:jc w:val="both"/>
        <w:tabs>
          <w:tab w:val="left" w:pos="284" w:leader="none"/>
          <w:tab w:val="num" w:pos="851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или решение суда </w:t>
      </w:r>
      <w:r>
        <w:rPr>
          <w:rFonts w:ascii="Times New Roman" w:hAnsi="Times New Roman" w:cs="Times New Roman"/>
          <w:sz w:val="28"/>
          <w:szCs w:val="28"/>
        </w:rPr>
        <w:br/>
        <w:t xml:space="preserve">о восстановлении национальности;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709"/>
        <w:jc w:val="both"/>
        <w:tabs>
          <w:tab w:val="left" w:pos="284" w:leader="none"/>
          <w:tab w:val="num" w:pos="851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из образовательной организации по итогам каждой сессии;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709"/>
        <w:jc w:val="both"/>
        <w:tabs>
          <w:tab w:val="left" w:pos="284" w:leader="none"/>
          <w:tab w:val="num" w:pos="851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банка и лицевой счет обучающегося;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709"/>
        <w:jc w:val="both"/>
        <w:tabs>
          <w:tab w:val="left" w:pos="284" w:leader="none"/>
          <w:tab w:val="num" w:pos="851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 квитанции об оплате проживания в общежитии, проездные билеты;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709"/>
        <w:jc w:val="both"/>
        <w:tabs>
          <w:tab w:val="left" w:pos="284" w:leader="none"/>
          <w:tab w:val="num" w:pos="851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обучение (для обучающихся на коммерческой основе) и квитанция об оплате обучения /счет на оплату.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709"/>
        <w:jc w:val="both"/>
        <w:tabs>
          <w:tab w:val="left" w:pos="284" w:leader="none"/>
          <w:tab w:val="num" w:pos="851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Вышеперечисленные документы представляются: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709"/>
        <w:jc w:val="both"/>
        <w:tabs>
          <w:tab w:val="left" w:pos="540" w:leader="none"/>
          <w:tab w:val="clear" w:pos="91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 в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(лично)</w:t>
      </w:r>
      <w:r>
        <w:rPr>
          <w:rFonts w:ascii="Times New Roman" w:hAnsi="Times New Roman" w:cs="Times New Roman"/>
          <w:sz w:val="28"/>
          <w:szCs w:val="28"/>
        </w:rPr>
        <w:t xml:space="preserve">. По вопросам работы МФЦ можно обратиться по бесплатному телефону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212529"/>
          <w:sz w:val="28"/>
          <w:szCs w:val="28"/>
          <w:highlight w:val="white"/>
        </w:rPr>
        <w:t xml:space="preserve">122 (доб. 4).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33"/>
        <w:ind w:firstLine="567"/>
        <w:jc w:val="both"/>
        <w:tabs>
          <w:tab w:val="left" w:pos="284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науки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</w:t>
      </w:r>
      <w:r>
        <w:rPr>
          <w:rFonts w:ascii="Times New Roman" w:hAnsi="Times New Roman" w:cs="Times New Roman"/>
          <w:sz w:val="28"/>
          <w:szCs w:val="28"/>
        </w:rPr>
        <w:t xml:space="preserve">а – Югры.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3"/>
        <w:ind w:firstLine="567"/>
        <w:jc w:val="both"/>
        <w:tabs>
          <w:tab w:val="left" w:pos="284" w:leader="none"/>
          <w:tab w:val="clear" w:pos="91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науки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</w:t>
      </w:r>
      <w:r>
        <w:rPr>
          <w:rFonts w:ascii="Times New Roman" w:hAnsi="Times New Roman" w:cs="Times New Roman"/>
          <w:sz w:val="28"/>
          <w:szCs w:val="28"/>
        </w:rPr>
        <w:t xml:space="preserve">а – Югры</w:t>
      </w:r>
      <w:r>
        <w:rPr>
          <w:rFonts w:ascii="Times New Roman" w:hAnsi="Times New Roman" w:cs="Times New Roman"/>
          <w:sz w:val="28"/>
          <w:szCs w:val="28"/>
        </w:rPr>
        <w:t xml:space="preserve">: 628011, </w:t>
      </w:r>
      <w:r>
        <w:rPr>
          <w:rFonts w:ascii="Times New Roman" w:hAnsi="Times New Roman" w:cs="Times New Roman"/>
          <w:sz w:val="28"/>
          <w:szCs w:val="28"/>
        </w:rPr>
        <w:br/>
        <w:t xml:space="preserve">г. Ханты-Мансийск, ул.</w:t>
      </w:r>
      <w:r>
        <w:rPr>
          <w:rFonts w:ascii="Times New Roman" w:hAnsi="Times New Roman" w:cs="Times New Roman"/>
          <w:sz w:val="28"/>
          <w:szCs w:val="28"/>
        </w:rPr>
        <w:t xml:space="preserve">Чехова</w:t>
      </w:r>
      <w:r>
        <w:rPr>
          <w:rFonts w:ascii="Times New Roman" w:hAnsi="Times New Roman" w:cs="Times New Roman"/>
          <w:sz w:val="28"/>
          <w:szCs w:val="28"/>
        </w:rPr>
        <w:t xml:space="preserve">, д.</w:t>
      </w:r>
      <w:r>
        <w:rPr>
          <w:rFonts w:ascii="Times New Roman" w:hAnsi="Times New Roman" w:cs="Times New Roman"/>
          <w:sz w:val="28"/>
          <w:szCs w:val="28"/>
        </w:rPr>
        <w:t xml:space="preserve">12, каб.104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(по почте)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Дополнительную информацию о предоставлении государственной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можно получить у сотрудник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образования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науки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Ханты-Мансийского автономного округа – Югры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Рыжковой Оксаны Сергеевны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отдела непрерывного образования коренных малочисленных народов Севера,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телефон: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8(3467) 36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0-1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61, доб. 2538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RyzhkovaOS@admhmao.ru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Поддержка в сфере культуры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грантов в форме субсидий из бюджета Ханты-Мансийского автономного округа – Югры (на конкурсной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основе) на возмещение части затрат для реализации проектов, способствующих сохранению, развитию, популяризации фольклора, традиций, языка, народных художественных промыслов коренных малочисленных народов Севера Ханты-Мансийского автономного округа – Югры.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Размер Гранта составляет 420 тыс.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 проводится по следующим номинациям: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сохранение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историко-культурного наследия обских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угров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сохранение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развитие материальной культуры обских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угров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сохранение и популяризация традиционных промыслов обских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угров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сохранение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развитие фольклора обских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угров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сохранение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развитие духовного наследия обских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угров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и развитие семейных ценностей, передача знаний культурного наследия и традиций;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сохранение и развитие родных языков коренных малочисленных народов Севера.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информацией о предоставлении мер поддержки можно обратиться к сотруднику Департамента культуры Ханты-Мансий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ского автономного округа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Югры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Носырев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Елен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Алексеевн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консультант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отдела профессионального развития и народного творчества Управления по вопросам культурной политики и культурных ценностей Департамента культуры Ханты-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Мансийского автономного округа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Югры, телефон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8(3467)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43, доб. 2435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14" w:tooltip="mailto:NosyrevaEA@admhmao.ru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NosyrevaEA@admhmao.ru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Юридический и фактический адрес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Департамента культуры Ханты-Мансийского автономного округа – Югры: 628012, Тюменская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область, Ханты-Мансийский автономный округ – Югра,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г.Ханты-Мансийск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ул.Мира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д.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а, телефон приемной 8(3467) 360-143 (доб.2403),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15" w:tooltip="mailto:cultura-UGRA@admhmao.ru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cultura-UGRA@admhmao.ru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Поддержка в сфере защиты исконной среды обитания, сохранения и развития традиционных образа жизни, хозяйствования и промыслов коренных малочисленных народов Севера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Ханты-Мансийского автономного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округа – Югры «Развитие агропромышленного комплекса»</w:t>
      </w:r>
      <w:r>
        <w:rPr>
          <w:rStyle w:val="943"/>
          <w:rFonts w:ascii="Times New Roman" w:hAnsi="Times New Roman" w:eastAsia="Times New Roman" w:cs="Times New Roman"/>
          <w:b/>
          <w:bCs/>
          <w:sz w:val="28"/>
          <w:szCs w:val="28"/>
        </w:rPr>
        <w:footnoteReference w:id="2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азвитие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промышленности и туризма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Style w:val="943"/>
          <w:rFonts w:ascii="Times New Roman" w:hAnsi="Times New Roman" w:eastAsia="Times New Roman" w:cs="Times New Roman"/>
          <w:b/>
          <w:bCs/>
          <w:sz w:val="28"/>
          <w:szCs w:val="28"/>
        </w:rPr>
        <w:footnoteReference w:id="3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гранта в форме субсидий на реализацию проектов по заготовке и переработке дикоросов.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субсидий на развитие системы заготовки и переработки дикоросов.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субсидий на создание и модернизацию объектов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рыбоводной инфраструктуры (предоставляются</w:t>
      </w:r>
      <w:r>
        <w:t xml:space="preserve">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субсидии на развитие северного оленеводства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(предоставляются сельскохозяйственным товаропроизводителям: юридическим лицам (за исключением государственных (муниципальных) учреждений), крестьянским (фермерским) хозяйствам, индивидуальным предпринимателям).</w:t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грантов в форме субсидий из бюджета Ханты-Мансийского автономного округа – Югры (на конкурсной основе)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возмещение части затрат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реализацию проектов в сфере внутреннего и въездного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туризма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(предоставляется юридическим лицам (за исключением государственных (муниципальных) учреждений), индивидуальным предпринимателям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информацией о предоставлении мер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поддержки возможно обратиться к сотруднику Департамента промышленности Ханты-М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ансийского автономного округа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Югры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Слепокуров Аким Валерьевич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заместитель начальника отдела развития пищевой промышленности Управления агропромышленного комплекса, телефон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8(3467) 353-404, доб. 3834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16" w:tooltip="mailto:SlepokurovAV@admhmao.ru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SlepokurovAV@admhmao.ru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(по пункту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Ниязова Гузэль Исламовна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начальник отдела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развития туризма Управления ту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ризма, телефон 8(3467)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35-34-04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доб.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3817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NiyazovaGI@admhmao.ru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(по пункту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Юридический и фактический адрес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промышленности 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628011, Тюменская область, Ханты-Мансийский автономный округ – Югра,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г.Ханты-Мансийск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ул.Рознина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64, телефон приемной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8(3467)353-404,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17" w:tooltip="mailto:depprom@admhmao.ru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depprom@admhmao.ru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Поддержка в жилищной сфере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Ханты-Мансийского автономного округа –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Югры «Развитие жилищной сферы»</w:t>
      </w:r>
      <w:r>
        <w:rPr>
          <w:rStyle w:val="943"/>
          <w:rFonts w:ascii="Times New Roman" w:hAnsi="Times New Roman" w:eastAsia="Times New Roman" w:cs="Times New Roman"/>
          <w:b/>
          <w:bCs/>
          <w:sz w:val="28"/>
          <w:szCs w:val="28"/>
        </w:rPr>
        <w:footnoteReference w:id="4"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Предоставление субсидии на приобретение или строительство жилых помещений гражданам из числа коренных малочисленных народов Севера в Ханты-Мансийском автономном округе – Югре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(подавшим заявления на получение мер государственной поддержки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до 31 декабря 2013 года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Порядок предоставления субсидии на приобретение или строительство жилых помещений гражданам из числа коренных малочисленных народов в Ханты-Мансийском автономном округе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Югре, подавшим до 31 декабря 2013 года заявления на получение мер государственной поддержки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устанавливает правила и условия предоставления субсидии за счет средств бюджета Ханты-Мансийского автономного округа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Югры на приобретение или строительство жилых помещений в собственность гражданам, отнесенным в соответствии с </w:t>
      </w:r>
      <w:hyperlink r:id="rId18" w:tooltip="https://login.consultant.ru/link/?rnd=B2F8D9E367AE1473BD55E5A8C4CFFDAD&amp;req=doc&amp;base=LAW&amp;n=185256&amp;REFFIELD=134&amp;REFDST=109884&amp;REFDOC=208202&amp;REFBASE=RLAW926&amp;stat=refcode%3D16876%3Bindex%3D6260&amp;date=10.04.202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Российской Федерации от 24 марта 2000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255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Едином перечне коренных малочисленных народов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коренным малочисленным народам в Ханты-Мансийском автономном округе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Югре, постоянно проживающим на территории автономного округа и нуждающимся в улучшении жилищных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условий, подавшим до 31 декабря 2013 года заявления на получение мер государственной поддержки, а также членам их семей.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целей порядка используются следующие основные термины и понятия: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уполномоченная организация - организация, привлекаемая исполнителем на конкурсной основе, для предоставления мер государственной поддержки;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 мероприятия - совершеннолетний гражданин Российской Федерации, отнесенный в соответствии с </w:t>
      </w:r>
      <w:hyperlink r:id="rId19" w:tooltip="https://login.consultant.ru/link/?rnd=B2F8D9E367AE1473BD55E5A8C4CFFDAD&amp;req=doc&amp;base=LAW&amp;n=185256&amp;REFFIELD=134&amp;REFDST=109887&amp;REFDOC=208202&amp;REFBASE=RLAW926&amp;stat=refcode%3D16876%3Bindex%3D6263&amp;date=10.04.202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</w:t>
        </w:r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Российской Федерации от 24 марта 2000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255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Едином перечне коренных малочисленных народов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коренным малочисленным народам в Ханты-Мансийском автономном округе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Югре, постоянно проживающий на территории автономного округа, нуждающийся в улучшении жилищных условий, подавший до 31 декабря 2013 года заявление на получение мер государственной поддержки, а также члены его семьи (с учетом положений </w:t>
      </w:r>
      <w:hyperlink r:id="rId20" w:tooltip="https://login.consultant.ru/link/?rnd=B2F8D9E367AE1473BD55E5A8C4CFFDAD&amp;req=doc&amp;base=RLAW926&amp;n=208202&amp;dst=109914&amp;fld=134&amp;date=10.04.202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пункта 6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порядка);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список граждан из числа коренных малочисленных народов по автономному округу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(далее - список) - список, сформированный уполномоченной организацией в хронологической последовательности исходя из даты подачи гражданами заявления о постановке на учет для получения меры государственной поддержки в виде субсидии до 31 декабря 2013 года.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нуждающимся в улучшении жилищных условий в целях предоставления субсидии относятся: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являющиеся собственниками жилых помещений или членами семьи собственника жилого помещения;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квадратных метров;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квадратных метров;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жилых помещениях, признанных в установленном законодательством порядке непригодными для проживания;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являющиеся нанимателями жилых помещений по договорам социального найма, членами семьи нанимателя жилого помещения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которой совместное проживание с ним в одной квартире невозможно, и не имеющие иного жилого помещения, занимаемого по договору социального найма или принадлежащего им на праве собственности.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определения нуждаемости членами семьи нанимателя жилого помещения по договору социального найма признаются проживающие совместно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ним его супруг, а также дети и родители данного нанимателя, иные близкие родственники (родные братья и сестры, родные дедушки, бабушки, внуки). Другие родственники, нетрудоспособные иждивенцы признаются членами семьи нанимателя жилого помещения по договору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социального найма, если они вселены нанимателем в качестве членов своей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Членами семьи собственника жилого помещения признаются проживающие совместно с данным собственником в принадлежащем ему жилом помещении супруг(а), их дети, родители, а также совместно проживающие с ним супруг(а)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его детей и внуки. Другие родственники, нетрудоспособные иждивенцы и, в исключительных случаях, иные граждане могут быть признаны членами семьи собственника, если они вселены собственником в качестве членов его семьи и признаны таковыми в судебном порядке.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Arial" w:hAnsi="Arial" w:eastAsia="Times New Roman" w:cs="Arial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субсидии на приобретение или строительство жилых помещений отдельным категориям граждан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(подавшим заявления на получение мер государственной поддержки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в период с 1 января по 31 декабря 2014 года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).</w:t>
      </w:r>
      <w:r>
        <w:rPr>
          <w:rFonts w:ascii="Arial" w:hAnsi="Arial" w:eastAsia="Times New Roman" w:cs="Arial"/>
          <w:b/>
          <w:bCs/>
          <w:sz w:val="28"/>
          <w:szCs w:val="28"/>
        </w:rPr>
        <w:t xml:space="preserve"> </w:t>
      </w:r>
      <w:r>
        <w:rPr>
          <w:rFonts w:ascii="Arial" w:hAnsi="Arial" w:eastAsia="Times New Roman" w:cs="Arial"/>
          <w:b/>
          <w:bCs/>
          <w:sz w:val="28"/>
          <w:szCs w:val="28"/>
        </w:rPr>
      </w:r>
      <w:r>
        <w:rPr>
          <w:rFonts w:ascii="Arial" w:hAnsi="Arial" w:eastAsia="Times New Roman" w:cs="Arial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Порядок предоставления субсидии на приобретение или строительство жилых помещений отдельным категориям граждан </w:t>
      </w:r>
      <w:bookmarkStart w:id="0" w:name="p5586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устанавливает правила и условия предоставления субсидий за счет средств бюджета Ханты-Мансийского автономного округа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Югры на приобретение или строительство жилых помещений в собственность постоянно проживающим на территории автономного округа гражданам, подавшим заявления в период с 1 января по 31 декабря 2014 года на получение мер государственной поддержки, из числа: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граждан, отнесенных в соответствии с </w:t>
      </w:r>
      <w:hyperlink r:id="rId21" w:tooltip="https://login.consultant.ru/link/?rnd=B2F8D9E367AE1473BD55E5A8C4CFFDAD&amp;req=doc&amp;base=LAW&amp;n=185256&amp;REFFIELD=134&amp;REFDST=105177&amp;REFDOC=186442&amp;REFBASE=RLAW926&amp;stat=refcode%3D16876%3Bindex%3D5587&amp;date=10.04.2020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Российской Федерации от 24 марта 2000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255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Едином перечне коренных малочисленных народов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 коренным малочисленным народам в автономном округе, а также членов их семей, проживающих на территории автономного округа и нуждающихся в улучшении жилищных условий (далее в настоящем порядке - граждане из числа коренных малочисленных народов);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состоящих на учете в органах местного самоуправления муниципальных образований автономного округа в качестве нуждающихся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жилых помещениях, предоставляемых по договору социального найма (далее - очередники).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целей настоящего порядка используются следующие основные понятия: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организация, привлекаемая на конкурсной основе в соответствии с законодательством Российской Федерации и автономного округа, для реализации мероприятия;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гражданин Российской Федерации из числа указанных в </w:t>
      </w:r>
      <w:hyperlink w:tooltip="#p5586" w:anchor="p5586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пункте 1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порядка, подавший в период с 1 января по 31 декабря 2014 года заявление на получение мер государственной поддержки;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список, сформированный уполномоченной организацией из числа участников, в хронологической последовательности с учетом регистрационных номеров заявлений;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участников, претендующих на получение субсидии в текущем году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список, сформированный уполномоченной организацией из списка участников, в хронологической последовательности, с учетом регистрационных номеров заявлений в пределах лимита бюджетных ассигнований, утвержденных на соответствующий финансовый год.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нуждающимся в улучшении жилищных условий в целях порядка относятся состоящие на учете по месту постоянного жительства в качестве нуждающихся в жилых помещениях, предоставляемых по договорам социального найма.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иных случаях нуждающимися в улучшении жилищных условий в целях получения государственной поддержки признаются: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являющиеся собственниками жилых помещений или членами семьи собственника жилого помещения;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являющиеся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кв. м;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кв. м;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жилых помещениях, признанных в установленном законодательством порядке непригодными для проживания;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являющиеся нанимателями жилых помещений по договорам социального найма, членами семьи нанимателя жилого помещения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которой совместное проживание с ним в одной квартире невозможно, и не имеющие иного жилого помещения, занимаемого по договору социального найма или принадлежащего им на праве собственности.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 у заявителя и (или) членов его семьи неск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указанных жилых помещений.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целей определения нуждаемости в улучшении жилищных условий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 семьи нанимателя жилого помещения по договору социального найма признаются проживающие совместно с ним его супруг, а также их дети и родители. Другие родственники, нетрудоспособные иждивенцы признаются членами семьи нанимателя жилого помещения по догово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супруг(а), их дети, родители, а также совместно проживающие с ним супруг (а)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его детей и внуки. Другие родственники, нетрудоспособные иждивенцы и, в исключительных случаях, иные граждане могут быть признаны членами семьи собственника, если они вселены собственником в качестве членов его семьи и признаны таковыми в судебном порядке.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Verdana" w:hAnsi="Verdana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Постоянно проживающим на территории автономного округа признается гражданин, имеющий место жительства на территории автономного округа не менее 15 лет совокупно.</w:t>
      </w:r>
      <w:r>
        <w:rPr>
          <w:rFonts w:ascii="Verdana" w:hAnsi="Verdana" w:eastAsia="Times New Roman" w:cs="Times New Roman"/>
          <w:sz w:val="28"/>
          <w:szCs w:val="28"/>
        </w:rPr>
      </w:r>
      <w:r>
        <w:rPr>
          <w:rFonts w:ascii="Verdana" w:hAnsi="Verdana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информацией о предоставлении мер государственной поддержки возможно обратиться 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Данишевской Светлане Александровне, начальнику отдела федеральных и региональных программ Управления жилищных программ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Департамента строительства и жилищно коммунального комплекса Ханты-Мансийского автономного </w:t>
        <w:br/>
        <w:t xml:space="preserve">округа – Югры по номеру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телефона 8 (3467) 30-03-76, доб. 3514,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22" w:tooltip="mailto:DanishevskayaSA@admhmao.ru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DanishevskayaSA@admhmao.ru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 xml:space="preserve">Юридический и фактический адрес Департамента строительства и жилищно-коммунального хозяйства Ханты-Мансийского автономного округа – Югры: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628007, г. Ханты-Мансийск, Ханты-Мансийский автономный округ – Югра (Тюменская область), ул.Мира, 18, Телефон приемной: (3467) 300-376, Факс: (3467) 329-845, Email: </w:t>
      </w:r>
      <w:hyperlink r:id="rId23" w:tooltip="mailto:ds@admhmao.ru" w:history="1">
        <w:r>
          <w:rPr>
            <w:rStyle w:val="930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ds@admhmao.ru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Поддержка в сфере труда и занятости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Ханты-Мансийского автономного округа – Югры «Поддержка занятости населения»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Частичная компенсация расходов работодателя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 оплате труда работников из числа коренных малочисленных народов Севера автономного округа, зарегистрированных в органах службы занятости в целях поиска подходящей работы и временно трудоустроенных на организованные работодателем временные рабочие места.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Условия предоставления меры поддержки: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тсутствие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у 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аботодател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неис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полненной обязанности по уплате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налогов, сборов, страховых взно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сов, пеней, штрафов, процентов,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подлежащих уплате в соответствии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 законодательством Российской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Федерации о налогах и сборах, по данным бухгалтерской отчетности за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последний завершенный отчетный период: для юридических лиц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свыше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1% балансовой стоимости ег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 активов, для физических лиц –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свыше 5%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балансовой стоимости его активов;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юридические лица не должны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находиться в стадии ликвидации,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реорганизации, несосто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ятельности (банкротства);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индивидуальные предприниматели, главы крестьянских (фермерских)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хозяйств не должны прекратить деятельность в качестве индивидуального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предпринимателя, главы крестьянского (фермерского) хозяйства;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не являться иностранным юридич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еским лицом, а также российским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юридическим лицом, в уставном (складочном) капитале которого доля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участия иностранных юридических лиц, местом регистрации которых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является государство или террит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ория, включенные в утверждаемый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Министерством финансов Российской Федерации перечень государств 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территорий, предостав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ляющих льготный налоговый режим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налогообложения и (или) н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 предусматривающих раскрытия 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предоставления информации при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проведении финансовых операций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(офшорные зоны) в отношении таких юридических лиц, в совокупности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превышает 50% (для работодателей, за исключением государственных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(муниципальных) учреждений);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не выполнять функции иностран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ного агента (для некоммерческих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организаций);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не являться получателем средств из бюджет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 автономного округа на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основании иных нормативных правовых актов или муниципальных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правовых актов на компенсацию расход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ов по оплате труда работников 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страховых взносов.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Единовременная финансовая помощь при государственной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регистрации в качестве юридического лица, индивидуального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предпринимателя либо крестьянского (фермерского) хозяйства (далее –субсидия).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Единовременная выплата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бюджетных средств на возмещение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расходов на подготовку документов, представляемых гражданином 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регистрации юриди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ческого лица, индивидуального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предпринимателя, крестьянского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фермерского) хозяйства (далее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финансовая помощь).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Критерии отнесения к получателям субсидии и финансовой помощи: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граждане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достигшие возраста восемнадцати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лет, признанные в установленн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законодательством Российской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Федерации порядке безработными;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граждане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достигшие возраста восемнадцати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лет, признанные в установленн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 законодательством Российской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Федерации порядке безработны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 и прошедшие профессиональное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обучение или получившие дополнительное профессиональное образование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направлению центра занятости населения.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Условия предоставления субсидии и финансовой помощи: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отсутствие обязательств перед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третьими лицами по вступившим в законную силу решениям судов;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признание в установленном федеральным законодательством порядке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безработным;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отсутствие информации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Едином государственном реестре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индивидуальных предпринимателей о регистрации гражданина в качестве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индивидуального предпринимателя (главы крестьянского (фермерского)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хозяйства) в течение 6 календарных месяцев до представления им в центр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занятости заявления на получение субсидии на организацию собств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отсутствие информации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Едином государственном реестре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юридических лиц о регистрации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качестве учредителя в течение 6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календарных месяцев до представления им в центр занятости заявления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получение субсидии на организацию собственного дела, за исключением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учредителей (участников) некоммерческих организаций, организационно-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правовая форма которых не предполагает права учредителей (участников)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получение дохода от деятельности этих организаций, включая членов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товариществ собственников жилья, а также членов жилищных, жилищно-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строительных, гаражных коопера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тивов и иных специализированных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потребительских кооперативов, соз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даваемых в целях удовлетворения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потребностей граждан, которые не получают доход от их деятельности (на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основании информации, получен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центром занятости населения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самостоятельно);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деятельность, указанная в бизнес-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плане (в том числе установление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оборудования), будет осуществляться на территории автономного округа.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Критерии отнесения к получателям меры поддержки: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индивидуальный пред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приниматель либо индивидуальный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предприниматель, зарегистрированный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качестве главы крестьянского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(фермерского) хозяйства, ранее получивший субсидию на организацию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собственного дела, который на момент обращения за единовременной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финансовой помощью на создание дополнительных рабочих мест 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трудоустройства безработных граждан, не прекратил свою деятельность;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юридическое лицо, учредите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лем (участником, руководителем)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которого является гражданин, получивший ранее субсидию на организацию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собственного дела, которое на момент обращения за единовременной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финансовой помощью на создание дополнительных рабочих мес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трудоустройства безработных граждан, не прекратило свою деятельность.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информацией о предоставлении мер поддержки можно обратиться 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Беленковой Ирине Николаевне, консультанту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отдела программ содействия занятости населения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анализа рынка труда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Управления отраслевого планирования, анализа и прогнозирования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Департаме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нта труда и занятости населения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Ханты-М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ансийского автономного округа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Югры,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телефон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8(3467)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331-609 доб. 3944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hyperlink r:id="rId24" w:tooltip="mailto:BelenkovaIN@admhmao.ru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BelenkovaIN@admhmao.ru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Юридический и фактический адрес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Департамент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труда и занятости населения Хан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ты-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628012, Тюменская область, Ханты-Мансийский автономный округ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– Югра, г.Ханты-Мансийск, ул.Карла Маркса, д.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12, телефон приемной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8(3467)331-609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(доб. 3901)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адрес сайта: </w:t>
      </w:r>
      <w:hyperlink r:id="rId25" w:tooltip="http://www.deptrud.admhmao.ru/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deptrud.admhmao.ru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dtzn@admhmao.ru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Поддержка в сфере массовых коммуникаций и средств массовой информации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Ханты-Мансийского автономного округа – Югры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Развитие гражданского общества»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субсидии организациям, издающим (выпускающим) средства массовой информации на языках коренны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малочисленных народов, учредителями (соучредителями которых являются органы государственной власти Ханты-Мансийского автономного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округа – Югры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субсидии редакциям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средств массовой информации, издаваемых (выпускаемых) на языках коренных малочисленных народов, учредителями (соучредителями) которых не являются органы государственной власти Ханты-Мансийского автономного округа – Югры или органы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муниципальных образований Ханты-Мансийского автономного округа – Югры.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информацией о предоставлении мер поддержки можно обратиться к сотруднику Департамента внутренней политики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Ханты-М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ансийского автономного округа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Югры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Замятин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Мари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Николаевн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заместителю начальника 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массовых коммуникаций, начальнику отдела организации аналитической и проектной работы в сфере СМИ и массовых коммуникаций, телефон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8(3467) 360-171 доб. 157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ZamyatinaMN@admhmao.ru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Юридический и фактический адрес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внутренней политики Ханты-Мансийского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628006, Тюменская область, Ханты-Мансийский автономный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округ – Югра, г.Ханты-Мансийск, ул.Мира, д.5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телефон приемной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(3467)36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0-1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доб.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1503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сайт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26" w:tooltip="http://www.deppolitiki.admhmao.ru/" w:history="1">
        <w:r>
          <w:rPr>
            <w:rStyle w:val="930"/>
            <w:rFonts w:ascii="Times New Roman" w:hAnsi="Times New Roman" w:eastAsia="Arial" w:cs="Times New Roman"/>
            <w:i w:val="0"/>
            <w:iCs w:val="0"/>
            <w:color w:val="000000" w:themeColor="text1"/>
            <w:sz w:val="28"/>
            <w:szCs w:val="28"/>
            <w:highlight w:val="white"/>
            <w:u w:val="none"/>
          </w:rPr>
          <w:t xml:space="preserve">http://www.deppolitiki.admhmao.ru</w:t>
        </w:r>
      </w:hyperlink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27" w:tooltip="mailto:Deppolitiki@admhmao.ru" w:history="1">
        <w:r>
          <w:rPr>
            <w:rStyle w:val="930"/>
            <w:rFonts w:ascii="Times New Roman" w:hAnsi="Times New Roman" w:eastAsia="Arial" w:cs="Times New Roman"/>
            <w:i w:val="0"/>
            <w:iCs w:val="0"/>
            <w:color w:val="000000" w:themeColor="text1"/>
            <w:sz w:val="28"/>
            <w:szCs w:val="28"/>
            <w:highlight w:val="white"/>
            <w:u w:val="none"/>
          </w:rPr>
          <w:t xml:space="preserve">Deppolitiki@admhmao.ru</w:t>
        </w:r>
      </w:hyperlink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VI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Поддержка в сфере летнего отдыха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Ханты-Мансийского автономного округа – Югры «Развитие образования»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обеспечение отдыха и оздоровления детей в этнической среде.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 информацией о предоставлении мер поддержки возможно обратиться к сотруднику Департамента образования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Ханты-М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ансийского автономного округа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Югры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Асташиной Нине Васильевне,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консультанту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отдела воспитания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организации отдыха детей 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воспитания и обеспечения безопасности детей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телефон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  <w:br/>
        <w:t xml:space="preserve">8 (3467) 360-161 доб. 2559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hyperlink r:id="rId28" w:tooltip="mailto:ZavarnitsinaNV@admhmao.ru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ZavarnitsinaNV@admhmao.ru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Юридический и фактический адрес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образования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науки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Ханты-Мансийского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автономного округа – Югры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628012, Тюменская область, Ханты-Мансийский автономный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округ – Югра, </w:t>
        <w:br/>
        <w:t xml:space="preserve">г. Ханты-Мансийск, ул. Чехова д. 12, телефон приемной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(3467) 36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0-1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доб.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2501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адрес сайта: </w:t>
      </w:r>
      <w:hyperlink r:id="rId29" w:tooltip="https://depobr-molod.admhmao.ru/" w:history="1">
        <w:r>
          <w:rPr>
            <w:rStyle w:val="930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depobr.admhmao.ru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hyperlink r:id="rId30" w:tooltip="mailto:doimp@admhmao.ru." w:history="1">
        <w:r>
          <w:rPr>
            <w:rStyle w:val="930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</w:rPr>
          <w:t xml:space="preserve">doimp@admhmao.ru.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VII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Поддержка в сфере здравоохранения.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Организация санаторно-курортного лечения (далее – СКЛ) осуществляется в со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ответствии с  приказом Департамента здравоохранения автономного округа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 18.07.2018 №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4-нп «Об установлении порядка предоставления медицинскими организациями, подведомственными Департаменту здравоохранения Ханты-Мансийского автономного округа – Югры, путевок на санаторно-курортное лечение гражданам, зарегистрированным по месту жительства н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 территории  Ханты-Мансийского автономного округа – Югры, имеющим хронические заболевания и состоящим на диспансерном учете в указанных медицинских организациях, при наличии медицинских показаний, в том числе несовершеннолетним в возрасте от 4 до 18 лет».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Напр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авление граждан на СКЛ осуществляется лечащим врачом медицинской организации, а также врачебной комиссией при наличии медицинских показаний с обязательным учётом противопоказаний к этому виду медицинской помощи (приказ Министерства здравоохранения Российск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ой Федерации от 07.06.2018 № 321н). Распределение и выдача путевок гражданам производится медицинскими организациями с учетом даты постановки гражданина на учет для получения СКЛ в соответствии с рекомендуемым профилем, сезоном и местом лечения, в порядке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очередности, определяемой в зависимости от даты подачи заявления и справки формы 070/У,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не чаще одного раза в два года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Для орг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анизации лекарственного обеспечения за счет средств регионального или федерального бюджета необходимо предоставить документы лечащему врачу для включения персональных данных в регистр отдельных категорий граждан, имеющих право на лекарственное обеспечение.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Лекарственное обеспечение граждан осуществляется в соответствии с Перечнем лекарственных препаратов, медицинских изделий и специализированных продуктов лечебного питания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Право на обеспечение необходимыми лекарственными препаратами по рецептам (бесплатно или со скидкой) в соответствии с установленными заболеванием и категорией льготы, возникает после внесения персональных данных в регистр(ы) льготных категорий граждан.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За информацией о предоставлении мер поддержки можно обратиться к сотруднику Департамента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здравоохранения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 Ханты-Мансий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ского автономного округа – Югры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Ниц Ирин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 Николаевн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, начальник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тдел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 медицинской реабилитации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shd w:val="clear" w:color="auto" w:fill="ffffff"/>
        </w:rPr>
        <w:t xml:space="preserve">Управлени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shd w:val="clear" w:color="auto" w:fill="ffffff"/>
        </w:rPr>
        <w:t xml:space="preserve">я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shd w:val="clear" w:color="auto" w:fill="ffffff"/>
        </w:rPr>
        <w:t xml:space="preserve"> организации медицинской помощи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, телефон: (3467)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 3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60-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18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0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доб. 2151,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адрес электронной почты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: </w:t>
      </w:r>
      <w:hyperlink r:id="rId31" w:tooltip="mailto:nitsin@admhmao.ru" w:history="1">
        <w:r>
          <w:rPr>
            <w:rStyle w:val="930"/>
            <w:rFonts w:ascii="Times New Roman" w:hAnsi="Times New Roman" w:eastAsia="Calibri" w:cs="Times New Roman"/>
            <w:color w:val="auto"/>
            <w:sz w:val="28"/>
            <w:szCs w:val="28"/>
            <w:highlight w:val="white"/>
            <w:lang w:eastAsia="en-US"/>
          </w:rPr>
          <w:t xml:space="preserve">nitsin@admhmao.ru</w:t>
        </w:r>
      </w:hyperlink>
      <w:r>
        <w:rPr>
          <w:highlight w:val="white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Юридический и фактический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 адрес Департамента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здравоохранения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 Ханты-Мансийского автономного округа – Югры: 628012, Тюменская област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ь, Ханты-Мансийский автономный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округ – Югра,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br/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г.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Ханты-Мансийск, ул.Рознина д. 75, телефон приемной: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br/>
        <w:t xml:space="preserve">8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(3467)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60-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18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0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доб. 2240,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адрес сайта:</w:t>
      </w:r>
      <w:r>
        <w:rPr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dzhmao.ru, 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адрес электронной почты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 </w:t>
      </w:r>
      <w:hyperlink r:id="rId32" w:tooltip="mailto:dz@admhmao.ru" w:history="1">
        <w:r>
          <w:rPr>
            <w:rStyle w:val="930"/>
            <w:rFonts w:ascii="Times New Roman" w:hAnsi="Times New Roman" w:eastAsia="Calibri" w:cs="Times New Roman"/>
            <w:color w:val="auto"/>
            <w:sz w:val="28"/>
            <w:szCs w:val="28"/>
            <w:highlight w:val="white"/>
            <w:lang w:eastAsia="en-US"/>
          </w:rPr>
          <w:t xml:space="preserve">dz@admhmao.ru</w:t>
        </w:r>
      </w:hyperlink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 xml:space="preserve">VIII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Обеспечение отдельных прав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граждан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по обеспечению бесплатной юридической помощи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автономном округе закреплены дополнительные гарантии гражданам, относящимся к коренным малочисленным народам Севера на предоставление бесплатной юридической помощи.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информацией о предоставлении мер поддержки в указанной сфере можно обратиться к сотрудникам Департамента региональной безопасности автономного округа: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Чебыкину Алексею Федоровичу,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начальнику отдела административных комиссий и вопросов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правозащиты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Управления профилактики правонарушений и общественной безопасности, телефон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8(3467) 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155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доб. 1542,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33" w:tooltip="mailto:ChebukinAF@admhmao.ru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ChebukinAF@admhmao.ru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Попову Олегу Владимировичу,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консультанту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отдела административных комиссий и вопросов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правозащиты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профилактики правонарушений и общественной безопасности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телефон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8(3467)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360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155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доб.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1544,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hyperlink r:id="rId34" w:tooltip="mailto:PopovOV@admhmao.ru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PopovOV@admhmao.ru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Юридический и фактический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адрес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Департамент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региональной безопасности Ханты-Мансийского автономного округа – Югры: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628007, Тюменская область, Ханты-Мансийский автономный округ – Югра, г.Ханты-Мансийск, ул.Студенческая, д.2, телефон: 8(3467) 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60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155, доб. 1805,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адрес сайт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 </w:t>
      </w:r>
      <w:hyperlink r:id="rId35" w:tooltip="http://www.deprb.admhmao.ru/" w:history="1">
        <w:r>
          <w:rPr>
            <w:rStyle w:val="930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www.deprb.admhmao.ru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Arial" w:hAnsi="Arial" w:eastAsia="Arial" w:cs="Arial"/>
          <w:color w:val="555555"/>
          <w:sz w:val="20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 </w:t>
      </w:r>
      <w:r>
        <w:rPr>
          <w:rFonts w:ascii="Arial" w:hAnsi="Arial" w:eastAsia="Arial" w:cs="Arial"/>
          <w:color w:val="555555"/>
          <w:sz w:val="20"/>
          <w:highlight w:val="white"/>
        </w:rPr>
      </w:r>
      <w:hyperlink r:id="rId36" w:tooltip="mailto:drbhmao@admhmao.ru" w:history="1">
        <w:r>
          <w:rPr>
            <w:rStyle w:val="930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drbhmao@admhmao.ru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/>
        </w:rPr>
        <w:t xml:space="preserve">IX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льгот по транспортному налогу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(региональный налог)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 Ханты-Мансийского автономного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– Югры от 14.11.2002 № 62-оз «О транспортном налоге в Ханты-Мансийском автономном округе – Югре»)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льгот по транспортному налогу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физическим лицам из числа коренных малочисленных народов Севера,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виды традиционной хозяйственной деятельности коренных малочисленных народов Севера в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-Мансийском автономном округе – </w:t>
      </w:r>
      <w:r>
        <w:rPr>
          <w:rFonts w:ascii="Times New Roman" w:hAnsi="Times New Roman" w:cs="Times New Roman"/>
          <w:sz w:val="28"/>
          <w:szCs w:val="28"/>
        </w:rPr>
        <w:t xml:space="preserve">Югре в местах традиционного проживания и традиционной хозяйственной деятельности коренных малочисленных народов Севера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2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льгот по транспортному налогу организациям, осуществляющим виды традиционной хозяйственной деятельности коренных малочисленных народов Севера в Ханты-Мансийском автономном округе – Югре.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инспекций размещены на сайте Управления Федеральной налоговой службы по Ханты-Мансийскому автономному округу – Югре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ooltip="https://www.nalog.ru/rn86/apply_fts/" w:history="1">
        <w:r>
          <w:rPr>
            <w:rStyle w:val="930"/>
            <w:rFonts w:ascii="Times New Roman" w:hAnsi="Times New Roman" w:cs="Times New Roman"/>
            <w:color w:val="auto"/>
            <w:sz w:val="28"/>
            <w:szCs w:val="28"/>
          </w:rPr>
          <w:t xml:space="preserve">https://www.nalog.ru/rn86/apply_fts/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олучить информацию справочного характера о приеме физических и юридических лиц, о порядке рассмотрения обращений, а также о работе интерактивных сервисов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ому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8-800-222-2222. Звонок из региона бесплатный.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1276" w:bottom="1134" w:left="1559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41"/>
        <w:jc w:val="both"/>
        <w:rPr>
          <w:rFonts w:ascii="Times New Roman" w:hAnsi="Times New Roman" w:cs="Times New Roman"/>
        </w:rPr>
      </w:pPr>
      <w:r>
        <w:rPr>
          <w:rStyle w:val="94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Постановление Правительства Х</w:t>
      </w:r>
      <w:r>
        <w:rPr>
          <w:rFonts w:ascii="Times New Roman" w:hAnsi="Times New Roman" w:cs="Times New Roman"/>
        </w:rPr>
        <w:t xml:space="preserve">анты-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ансийского автономного округа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Югры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30.12.2021 </w:t>
      </w: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 637-п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О мерах по реализации государственной программы Ханты-Мансийского автономного округа - Югры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Развитие агропромышленного комплекса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3">
    <w:p>
      <w:pPr>
        <w:pStyle w:val="941"/>
        <w:jc w:val="both"/>
      </w:pPr>
      <w:r>
        <w:rPr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Постановление Правительства ХМАО - Югры от 30.12.2021 </w:t>
      </w: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 638-п (ред. от 03.06.2022) "О мерах по реализации государственной программы Ханты-Мансийского автономного округа - Югры "Развитие промышленности и туризма"</w:t>
      </w:r>
      <w:r/>
    </w:p>
  </w:footnote>
  <w:footnote w:id="4">
    <w:p>
      <w:pPr>
        <w:pStyle w:val="941"/>
        <w:jc w:val="both"/>
      </w:pPr>
      <w:r>
        <w:rPr>
          <w:rStyle w:val="94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Постановление Правительства Х</w:t>
      </w:r>
      <w:r>
        <w:rPr>
          <w:rFonts w:ascii="Times New Roman" w:hAnsi="Times New Roman" w:cs="Times New Roman"/>
        </w:rPr>
        <w:t xml:space="preserve">анты-</w:t>
      </w:r>
      <w:r>
        <w:rPr>
          <w:rFonts w:ascii="Times New Roman" w:hAnsi="Times New Roman" w:cs="Times New Roman"/>
        </w:rPr>
        <w:t xml:space="preserve">М</w:t>
      </w:r>
      <w:r>
        <w:rPr>
          <w:rFonts w:ascii="Times New Roman" w:hAnsi="Times New Roman" w:cs="Times New Roman"/>
        </w:rPr>
        <w:t xml:space="preserve">ансийского автономного округа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Югры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29.12.2020 </w:t>
      </w:r>
      <w:r>
        <w:rPr>
          <w:rFonts w:ascii="Times New Roman" w:hAnsi="Times New Roman" w:cs="Times New Roman"/>
        </w:rPr>
        <w:t xml:space="preserve">№</w:t>
      </w:r>
      <w:r>
        <w:rPr>
          <w:rFonts w:ascii="Times New Roman" w:hAnsi="Times New Roman" w:cs="Times New Roman"/>
        </w:rPr>
        <w:t xml:space="preserve"> 643-п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О мерах по реализации государственной программы Ханты-Мансийского автономного округа - Югры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Развитие жилищной сферы</w:t>
      </w:r>
      <w:r>
        <w:rPr>
          <w:rFonts w:ascii="Times New Roman" w:hAnsi="Times New Roman" w:cs="Times New Roman"/>
        </w:rPr>
        <w:t xml:space="preserve">»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58746853"/>
      <w:docPartObj>
        <w:docPartGallery w:val="Page Numbers (Top of Page)"/>
        <w:docPartUnique w:val="true"/>
      </w:docPartObj>
      <w:rPr/>
    </w:sdtPr>
    <w:sdtContent>
      <w:p>
        <w:pPr>
          <w:pStyle w:val="93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20</w:t>
        </w:r>
        <w:r>
          <w:fldChar w:fldCharType="end"/>
        </w:r>
        <w:r/>
      </w:p>
    </w:sdtContent>
  </w:sdt>
  <w:p>
    <w:pPr>
      <w:pStyle w:val="9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□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26"/>
    <w:next w:val="926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basedOn w:val="927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26"/>
    <w:next w:val="926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basedOn w:val="927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basedOn w:val="927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basedOn w:val="927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basedOn w:val="927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basedOn w:val="927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26"/>
    <w:next w:val="926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basedOn w:val="927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26"/>
    <w:next w:val="926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basedOn w:val="927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26"/>
    <w:next w:val="926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basedOn w:val="927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No Spacing"/>
    <w:uiPriority w:val="1"/>
    <w:qFormat/>
    <w:pPr>
      <w:spacing w:before="0" w:after="0" w:line="240" w:lineRule="auto"/>
    </w:pPr>
  </w:style>
  <w:style w:type="paragraph" w:styleId="773">
    <w:name w:val="Title"/>
    <w:basedOn w:val="926"/>
    <w:next w:val="926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basedOn w:val="927"/>
    <w:link w:val="773"/>
    <w:uiPriority w:val="10"/>
    <w:rPr>
      <w:sz w:val="48"/>
      <w:szCs w:val="48"/>
    </w:rPr>
  </w:style>
  <w:style w:type="paragraph" w:styleId="775">
    <w:name w:val="Subtitle"/>
    <w:basedOn w:val="926"/>
    <w:next w:val="926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basedOn w:val="927"/>
    <w:link w:val="775"/>
    <w:uiPriority w:val="11"/>
    <w:rPr>
      <w:sz w:val="24"/>
      <w:szCs w:val="24"/>
    </w:rPr>
  </w:style>
  <w:style w:type="paragraph" w:styleId="777">
    <w:name w:val="Quote"/>
    <w:basedOn w:val="926"/>
    <w:next w:val="926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26"/>
    <w:next w:val="926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7"/>
    <w:link w:val="935"/>
    <w:uiPriority w:val="99"/>
  </w:style>
  <w:style w:type="character" w:styleId="782">
    <w:name w:val="Footer Char"/>
    <w:basedOn w:val="927"/>
    <w:link w:val="937"/>
    <w:uiPriority w:val="99"/>
  </w:style>
  <w:style w:type="paragraph" w:styleId="783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37"/>
    <w:uiPriority w:val="99"/>
  </w:style>
  <w:style w:type="table" w:styleId="785">
    <w:name w:val="Table Grid"/>
    <w:basedOn w:val="9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1">
    <w:name w:val="Footnote Text Char"/>
    <w:link w:val="941"/>
    <w:uiPriority w:val="99"/>
    <w:rPr>
      <w:sz w:val="18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basedOn w:val="927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qFormat/>
  </w:style>
  <w:style w:type="character" w:styleId="927" w:default="1">
    <w:name w:val="Default Paragraph Font"/>
    <w:uiPriority w:val="1"/>
    <w:semiHidden/>
    <w:unhideWhenUsed/>
  </w:style>
  <w:style w:type="table" w:styleId="9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9" w:default="1">
    <w:name w:val="No List"/>
    <w:uiPriority w:val="99"/>
    <w:semiHidden/>
    <w:unhideWhenUsed/>
  </w:style>
  <w:style w:type="character" w:styleId="930">
    <w:name w:val="Hyperlink"/>
    <w:basedOn w:val="927"/>
    <w:uiPriority w:val="99"/>
    <w:unhideWhenUsed/>
    <w:rPr>
      <w:strike w:val="0"/>
      <w:color w:val="008acf"/>
      <w:u w:val="none"/>
      <w:shd w:val="clear" w:color="auto" w:fill="auto"/>
    </w:rPr>
  </w:style>
  <w:style w:type="paragraph" w:styleId="931">
    <w:name w:val="Normal (Web)"/>
    <w:basedOn w:val="926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32">
    <w:name w:val="List Paragraph"/>
    <w:basedOn w:val="926"/>
    <w:uiPriority w:val="34"/>
    <w:qFormat/>
    <w:pPr>
      <w:contextualSpacing/>
      <w:ind w:left="720"/>
    </w:pPr>
  </w:style>
  <w:style w:type="paragraph" w:styleId="933">
    <w:name w:val="HTML Preformatted"/>
    <w:basedOn w:val="926"/>
    <w:link w:val="934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character" w:styleId="934" w:customStyle="1">
    <w:name w:val="Стандартный HTML Знак"/>
    <w:basedOn w:val="927"/>
    <w:link w:val="933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5">
    <w:name w:val="Header"/>
    <w:basedOn w:val="926"/>
    <w:link w:val="9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6" w:customStyle="1">
    <w:name w:val="Верхний колонтитул Знак"/>
    <w:basedOn w:val="927"/>
    <w:link w:val="935"/>
    <w:uiPriority w:val="99"/>
  </w:style>
  <w:style w:type="paragraph" w:styleId="937">
    <w:name w:val="Footer"/>
    <w:basedOn w:val="926"/>
    <w:link w:val="9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8" w:customStyle="1">
    <w:name w:val="Нижний колонтитул Знак"/>
    <w:basedOn w:val="927"/>
    <w:link w:val="937"/>
    <w:uiPriority w:val="99"/>
  </w:style>
  <w:style w:type="paragraph" w:styleId="939">
    <w:name w:val="Balloon Text"/>
    <w:basedOn w:val="926"/>
    <w:link w:val="9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0" w:customStyle="1">
    <w:name w:val="Текст выноски Знак"/>
    <w:basedOn w:val="927"/>
    <w:link w:val="939"/>
    <w:uiPriority w:val="99"/>
    <w:semiHidden/>
    <w:rPr>
      <w:rFonts w:ascii="Tahoma" w:hAnsi="Tahoma" w:cs="Tahoma"/>
      <w:sz w:val="16"/>
      <w:szCs w:val="16"/>
    </w:rPr>
  </w:style>
  <w:style w:type="paragraph" w:styleId="941">
    <w:name w:val="footnote text"/>
    <w:basedOn w:val="926"/>
    <w:link w:val="94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42" w:customStyle="1">
    <w:name w:val="Текст сноски Знак"/>
    <w:basedOn w:val="927"/>
    <w:link w:val="941"/>
    <w:uiPriority w:val="99"/>
    <w:semiHidden/>
    <w:rPr>
      <w:sz w:val="20"/>
      <w:szCs w:val="20"/>
    </w:rPr>
  </w:style>
  <w:style w:type="character" w:styleId="943">
    <w:name w:val="footnote reference"/>
    <w:basedOn w:val="92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ugrales@admhmao.ru" TargetMode="External"/><Relationship Id="rId12" Type="http://schemas.openxmlformats.org/officeDocument/2006/relationships/hyperlink" Target="http://www.depsr.admhmao.ru/" TargetMode="External"/><Relationship Id="rId13" Type="http://schemas.openxmlformats.org/officeDocument/2006/relationships/hyperlink" Target="mailto:Socprotect@admhmao.ru" TargetMode="External"/><Relationship Id="rId14" Type="http://schemas.openxmlformats.org/officeDocument/2006/relationships/hyperlink" Target="mailto:NosyrevaEA@admhmao.ru" TargetMode="External"/><Relationship Id="rId15" Type="http://schemas.openxmlformats.org/officeDocument/2006/relationships/hyperlink" Target="mailto:cultura-UGRA@admhmao.ru" TargetMode="External"/><Relationship Id="rId16" Type="http://schemas.openxmlformats.org/officeDocument/2006/relationships/hyperlink" Target="mailto:SlepokurovAV@admhmao.ru" TargetMode="External"/><Relationship Id="rId17" Type="http://schemas.openxmlformats.org/officeDocument/2006/relationships/hyperlink" Target="mailto:depprom@admhmao.ru" TargetMode="External"/><Relationship Id="rId18" Type="http://schemas.openxmlformats.org/officeDocument/2006/relationships/hyperlink" Target="https://login.consultant.ru/link/?rnd=B2F8D9E367AE1473BD55E5A8C4CFFDAD&amp;req=doc&amp;base=LAW&amp;n=185256&amp;REFFIELD=134&amp;REFDST=109884&amp;REFDOC=208202&amp;REFBASE=RLAW926&amp;stat=refcode%3D16876%3Bindex%3D6260&amp;date=10.04.2020" TargetMode="External"/><Relationship Id="rId19" Type="http://schemas.openxmlformats.org/officeDocument/2006/relationships/hyperlink" Target="https://login.consultant.ru/link/?rnd=B2F8D9E367AE1473BD55E5A8C4CFFDAD&amp;req=doc&amp;base=LAW&amp;n=185256&amp;REFFIELD=134&amp;REFDST=109887&amp;REFDOC=208202&amp;REFBASE=RLAW926&amp;stat=refcode%3D16876%3Bindex%3D6263&amp;date=10.04.2020" TargetMode="External"/><Relationship Id="rId20" Type="http://schemas.openxmlformats.org/officeDocument/2006/relationships/hyperlink" Target="https://login.consultant.ru/link/?rnd=B2F8D9E367AE1473BD55E5A8C4CFFDAD&amp;req=doc&amp;base=RLAW926&amp;n=208202&amp;dst=109914&amp;fld=134&amp;date=10.04.2020" TargetMode="External"/><Relationship Id="rId21" Type="http://schemas.openxmlformats.org/officeDocument/2006/relationships/hyperlink" Target="https://login.consultant.ru/link/?rnd=B2F8D9E367AE1473BD55E5A8C4CFFDAD&amp;req=doc&amp;base=LAW&amp;n=185256&amp;REFFIELD=134&amp;REFDST=105177&amp;REFDOC=186442&amp;REFBASE=RLAW926&amp;stat=refcode%3D16876%3Bindex%3D5587&amp;date=10.04.2020" TargetMode="External"/><Relationship Id="rId22" Type="http://schemas.openxmlformats.org/officeDocument/2006/relationships/hyperlink" Target="mailto:DanishevskayaSA@admhmao.ru" TargetMode="External"/><Relationship Id="rId23" Type="http://schemas.openxmlformats.org/officeDocument/2006/relationships/hyperlink" Target="mailto:ds@admhmao.ru" TargetMode="External"/><Relationship Id="rId24" Type="http://schemas.openxmlformats.org/officeDocument/2006/relationships/hyperlink" Target="mailto:BelenkovaIN@admhmao.ru" TargetMode="External"/><Relationship Id="rId25" Type="http://schemas.openxmlformats.org/officeDocument/2006/relationships/hyperlink" Target="http://www.deptrud.admhmao.ru/" TargetMode="External"/><Relationship Id="rId26" Type="http://schemas.openxmlformats.org/officeDocument/2006/relationships/hyperlink" Target="http://www.deppolitiki.admhmao.ru/" TargetMode="External"/><Relationship Id="rId27" Type="http://schemas.openxmlformats.org/officeDocument/2006/relationships/hyperlink" Target="mailto:Deppolitiki@admhmao.ru" TargetMode="External"/><Relationship Id="rId28" Type="http://schemas.openxmlformats.org/officeDocument/2006/relationships/hyperlink" Target="mailto:ZavarnitsinaNV@admhmao.ru" TargetMode="External"/><Relationship Id="rId29" Type="http://schemas.openxmlformats.org/officeDocument/2006/relationships/hyperlink" Target="https://depobr-molod.admhmao.ru/" TargetMode="External"/><Relationship Id="rId30" Type="http://schemas.openxmlformats.org/officeDocument/2006/relationships/hyperlink" Target="mailto:doimp@admhmao.ru." TargetMode="External"/><Relationship Id="rId31" Type="http://schemas.openxmlformats.org/officeDocument/2006/relationships/hyperlink" Target="mailto:nitsin@admhmao.ru" TargetMode="External"/><Relationship Id="rId32" Type="http://schemas.openxmlformats.org/officeDocument/2006/relationships/hyperlink" Target="mailto:dz@admhmao.ru" TargetMode="External"/><Relationship Id="rId33" Type="http://schemas.openxmlformats.org/officeDocument/2006/relationships/hyperlink" Target="mailto:ChebukinAF@admhmao.ru" TargetMode="External"/><Relationship Id="rId34" Type="http://schemas.openxmlformats.org/officeDocument/2006/relationships/hyperlink" Target="mailto:PopovOV@admhmao.ru" TargetMode="External"/><Relationship Id="rId35" Type="http://schemas.openxmlformats.org/officeDocument/2006/relationships/hyperlink" Target="http://www.deprb.admhmao.ru/" TargetMode="External"/><Relationship Id="rId36" Type="http://schemas.openxmlformats.org/officeDocument/2006/relationships/hyperlink" Target="mailto:drbhmao@admhmao.ru" TargetMode="External"/><Relationship Id="rId37" Type="http://schemas.openxmlformats.org/officeDocument/2006/relationships/hyperlink" Target="https://www.nalog.ru/rn86/apply_ft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15EA-5AEE-44D6-B13F-9755B2DC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SapozhnikovaES</dc:creator>
  <cp:revision>106</cp:revision>
  <dcterms:created xsi:type="dcterms:W3CDTF">2020-04-10T07:32:00Z</dcterms:created>
  <dcterms:modified xsi:type="dcterms:W3CDTF">2025-05-12T10:48:05Z</dcterms:modified>
</cp:coreProperties>
</file>