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48"/>
        <w:tblW w:w="0" w:type="auto"/>
        <w:tblLook w:val="04A0" w:firstRow="1" w:lastRow="0" w:firstColumn="1" w:lastColumn="0" w:noHBand="0" w:noVBand="1"/>
      </w:tblPr>
      <w:tblGrid>
        <w:gridCol w:w="593"/>
        <w:gridCol w:w="2629"/>
        <w:gridCol w:w="1373"/>
        <w:gridCol w:w="802"/>
        <w:gridCol w:w="853"/>
        <w:gridCol w:w="717"/>
        <w:gridCol w:w="717"/>
        <w:gridCol w:w="797"/>
        <w:gridCol w:w="848"/>
        <w:gridCol w:w="764"/>
        <w:gridCol w:w="757"/>
        <w:gridCol w:w="857"/>
        <w:gridCol w:w="858"/>
        <w:gridCol w:w="1222"/>
        <w:gridCol w:w="782"/>
      </w:tblGrid>
      <w:tr>
        <w:tblPrEx/>
        <w:trPr>
          <w:trHeight w:val="1965"/>
        </w:trPr>
        <w:tc>
          <w:tcPr>
            <w:gridSpan w:val="1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Динамика основных показателей социально-экономического развития</w:t>
              <w:br/>
              <w:t xml:space="preserve">муниципального образования город Нефтеюганск</w:t>
              <w:br/>
              <w:t xml:space="preserve">за январь-март 2025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35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Показатели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единицы измерения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январь-март 2023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Темп роста января-марта 2023 года к январю-марту 2022 года</w:t>
              <w:br/>
              <w:t xml:space="preserve">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2023 год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Темп роста</w:t>
              <w:br/>
              <w:t xml:space="preserve">2023 года к</w:t>
              <w:br/>
              <w:t xml:space="preserve">2022 году, </w:t>
              <w:br/>
              <w:t xml:space="preserve">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январь-март 2024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Темп роста января-марта 2024 года к январю-марту 2023 года</w:t>
              <w:br/>
              <w:t xml:space="preserve">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br/>
              <w:t xml:space="preserve">2024 год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Темп роста</w:t>
              <w:br/>
              <w:t xml:space="preserve">2024 года к</w:t>
              <w:br/>
              <w:t xml:space="preserve"> 2023 году, </w:t>
              <w:br/>
              <w:t xml:space="preserve">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январь-март 2025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Темп роста января-марта 2025 года к январю-марту 2024 года</w:t>
              <w:br/>
              <w:t xml:space="preserve">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br/>
              <w:t xml:space="preserve">2025 год</w:t>
              <w:br/>
              <w:t xml:space="preserve">оценка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Темп роста</w:t>
              <w:br/>
              <w:t xml:space="preserve">2025 года к</w:t>
              <w:br/>
              <w:t xml:space="preserve"> 2024 году, </w:t>
              <w:br/>
              <w:t xml:space="preserve">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0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Демография: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Численность населения (среднегодовая)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тыс.человек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125,06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100,39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125,84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100,87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127,30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101,79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127,32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128,10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100,63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128,65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101,05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Естественный прирост (убыль) населения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97,37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458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89,11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443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96,72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183,78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536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120,99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Миграционный прирост (убыль) населения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1 243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849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68,30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82,45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0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Труд и занятость населения: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Среднесписочная численность работников (без внешних совместителей) всех предприятий и организаций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тыс.человек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50,48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100,19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50,06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98,89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50,05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99,15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50,03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99,94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50,05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99,99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50,10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100,14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Среднесписочная численность работников (без внешних совместителей) по организациям, не относящимся к субъектам малого предпринимательства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тыс.человек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43,18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100,69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43,10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99,75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43,11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99,84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43,15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100,12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43,16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100,12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43,20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100,12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Вновь созданные рабочие места (данные Нефтеюганского центра занятости), в том числе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233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127,32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1 298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103,43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106,87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1 318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101,54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235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94,38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1 347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2.3.1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       постоянные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92,86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125,00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130,77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2.3.2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       временные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229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127,93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1 285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103,55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106,55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1 301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101,25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232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95,08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1 330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102,23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3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0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отгруженных товаров собственного производства, выполненных работ и услуг собственными силами (по крупным и средним) производителей промышленной продукции (B+C+D+E):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действующих ценах каждого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 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39 807,50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111,15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150 930,40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105,48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41 363,60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103,91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169 989,00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112,63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43 670,81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105,58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176 505,60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103,83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промышленного производства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% к предыдущему году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105,56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100,17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93,28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99,51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97,86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  - добыча полезных ископаемых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 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28 558,10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105,09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107 584,20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29 483,00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103,24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124 462,20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115,69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31 119,14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105,55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127 083,84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102,11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производства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% к предыдущему году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98,34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86,83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98,74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95,52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  - обрабатывающие производства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 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3 029,70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120,53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12 798,80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111,97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3 062,40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101,08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12 476,60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97,48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3 088,34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100,85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14 054,56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112,65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производства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% к предыдущему году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116,23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107,98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92,56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89,27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95,41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106,57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  - обеспечение электрической энергией, газом и паром; кондиционирование воздуха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 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5 934,60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146,13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19 792,20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108,82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6 030,80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101,62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20 894,90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105,57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6 668,82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110,58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22 664,90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108,47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производства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% к предыдущему году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132,01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98,30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96,14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99,88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100,99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99,06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  - водоснабжение; водоотведение, организация сбора и утилизации отходов, деятельность по ликвидации загрязнений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 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2 285,10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110,65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10 755,20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102,73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2 787,40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121,98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12 155,30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113,02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2 794,51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100,26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12 702,30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3.9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производства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% к предыдущему году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96,72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89,80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113,89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105,53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92,9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96,85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0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основных видов промышленной продукции: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Добыча нефти, включая газовый конденсат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млн.тонн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Добыча газа природного и попутного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млрд.куб.м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электроэнергии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млрд.кВт. час.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0,19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130,99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0,29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150,91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103,59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Конструкции и детали железобетонные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тыс.куб.м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Вывозка древесины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тыс.куб.м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древесины необработанной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тыс.куб.м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пиломатериалов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тыс.куб.м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блоков оконных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тыс.кв.м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блоков дверных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тыс.кв.м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щепы технологической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тыс.пл.куб.м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4.11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плиты древесноволокнистой (МДФ)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тыс.усл.кв.м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4.12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плиты древесностружечной (ДСП)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усл.куб.м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4.13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шпонированного бруса ЛВЛ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усл.куб.м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4.14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фанеры хвойной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усл.куб.м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4.15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деревянных домов заводского изготовления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тыс.кв.м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0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инвестиций в основной капитал: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70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действующих ценах каждого года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млн.руб.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6 551,55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83,74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35 826,17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82,43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7 292,93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111,32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40 103,76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111,94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7 579,61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103,93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42 108,95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1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физического объема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 к предыдущему году в сопоставимых ценах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76,76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75,55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102,03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102,60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96,41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97,40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4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0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работ, выполненных организациями (без субъектов малого предпринимательства, с учетом работ, выполненных хозяйственным способом), по виду экономической деятельности «Строительство»: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действующих ценах каждого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4 508,30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139,72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18 177,50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112,67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4 574,70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101,47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9 855,50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54,22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3 613,70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78,99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10 841,05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физического объема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 к предыдущему году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131,32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105,89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94,48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50,48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74,45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103,68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0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Оборот розничной торговли: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действующих ценах каждого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7 380,70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100,28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31 327,24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8 120,0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32 893,60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8 393,21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103,36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34 373,00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физического объема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 к предыдущему году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95,9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100,38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97,22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97,98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99,05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0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реализации платных услуг: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действующих ценах каждого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2 370,0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9 852,75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2 483,4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10 286,27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2 512,64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10 749,19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физического объема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 к предыдущему году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96,7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94,98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96,8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96,40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93,77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96,85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7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0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сельскохозяйственной продукции (сельскохозяйственные организации):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действующих ценах каждого года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 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34,88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141,21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35,24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101,03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152,92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108,29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37,12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160,57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Индекс  производства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% к предыдущему году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103,48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103,48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93,90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100,64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100,52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70,95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скот и птица (на убой в живом весе)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тыс.тонн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105,88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молоко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тыс.тонн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0,25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59,52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2,34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148,10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9.4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яйцо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млн.штук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0,11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91,67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0,39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76,47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9.5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картофель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тыс.тонн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9.6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овощи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тыс.тонн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9.7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поголовье скота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тыс.голов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2,37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64,05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3,59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104,36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0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Производство местной  пищевой продукции: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хлеб и хлебобулочные изделия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тонн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252,86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107,01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1 213,09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95,52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316,60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125,21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1 565,00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129,01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290,00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91,60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1 160,00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74,12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цельномолочная продукция (в пересчете на молоко)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тонн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колбасные изделия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тонн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5,70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28,00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2,8 р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8,50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149,12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34,00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121,43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0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Инфраструктура населенных пунктов: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населенных пунктов не обеспеченных выходом в сеть Интернет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населенных пунктов не имеющих централизованного электроснабжения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населенных пунктов не имеющих централизованного газоснабжения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11.4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населенных пунктов не обеспеченных круглогодичной транспортной связью с сетью автомобильных дорог общего пользования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0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Финансы: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Прибыль прибыльных предприятий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Кредиторская задолженность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30,71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26,18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31,00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100,94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12.2.1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т.ч. просроченная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Дебиторская задолженность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26 320,58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92,83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28 000,00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106,38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12.3.1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т.ч. просроченная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500,56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88,63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450,00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89,90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0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Ввод в действие жилых домов и объектов соцкультбыта: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Жилые дома (общая площадь квартир)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тыс.кв.м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0,37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1,04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97,64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150,03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1,600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4 раза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89,77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91,94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2,25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140,75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51,00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56,81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Общеобразовательные школы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уч. мест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Дошкольные образовательные учреждения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мест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13.4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Поликлиники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посещений в смену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13.5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Больницы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койко/мест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0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Жилищно- коммунальный комплекс: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Число организаций, оказывающих жилищно-коммунальные услуги, из них: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88,89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88,89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95,83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95,83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14.1.1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число организаций на рынке жилищных услуг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86,36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94,74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94,74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14.1.2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т.ч. частной формы собственности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90,48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94,74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94,74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14.2.1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число организаций, оказывающих коммунальные услуги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88,89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88,89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95,83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95,83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14.2.2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 т.ч. частной формы собственности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91,67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91,67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95,45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95,45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Установленный стандарт уровня платежей населения за ЖКУ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Общая дебиторская задолженность ЖКК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 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933,20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90,20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924,80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91,68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962,60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812,40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87,85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912,80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94,83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Доля задолженности населения в общем объеме дебиторской задолженности ЖКК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91,30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90,10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86,70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91,50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89,70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предоставленных субсидий на оплату жилого помещения и коммунальных услуг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млн. 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7,40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83,00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27,81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86,93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6,70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90,54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26,10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93,85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6,10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91,04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Фактический уровень возмещения населением затрат за предоставление жилищно-коммунальных услуг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Число семей, получавших субсидии на оплату жилого помещения и коммунальных услуг (на конец отчетного периода)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932,00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82,00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1 093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81,75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808,00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86,70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929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85,00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705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87,25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14.9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Численность лиц, проживающих в семьях, получавших субсидии на оплату жилого помещения и коммунальных услуг (на конец отчетного периода)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2 046,00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89,00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1 465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50,26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1 661,00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81,18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1 304,00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89,01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1 369,00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82,42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0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Уровень жизни населения: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ff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Среднемесячная номинальная начисленная заработная плата одного работника по крупным и средним предприятиям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100 316,90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112,64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115 203,30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113,60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134 284,20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133,86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134 448,90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116,71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134 448,90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100,12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140 326,99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104,37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Среднедушевые  денежные доходы населения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54 208,98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108,80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63 023,92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112,62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63 014,45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116,24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73 386,05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116,44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73 386,05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116,46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77 055,35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Потребительские расходы на душу населения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25 989,39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101,21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27 270,07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103,86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27 765,49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106,83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28 262,04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103,64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28 378,70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102,21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29 227,55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103,42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15.4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Реальные располагаемые денежные доходы неселения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106,3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107,6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107,8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110,91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15.5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Средний размер дохода пенсионера (на конец года отчетного периода)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28 225,00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113,37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30 303,00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107,84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30 512,45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108,10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33 469,09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110,45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34 484,45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113,02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36 816,00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15.6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Соотношение среднемесячного дохода  и прожиточного минимума пенсионера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166,51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178,77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173,08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189,85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188,09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200,81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15.7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Оборот розничной торговли на 1 жителя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59,02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99,89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248,95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63,79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108,08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258,35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103,78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65,52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102,72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267,18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103,42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54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15.8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реализации платных услуг на 1 жителя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18,95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105,52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78,30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19,51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102,94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80,79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103,19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19,61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100,55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83,55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103,42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15.9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транспортных средств в собственности граждан, зарегистрированных в установленном порядке, состоящих на учете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 единиц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16.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02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Показатели развития малого и среднего предпринимательства: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85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субъектов малого и среднего предпринимательства (без учета индивидуальных предпринимателей)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1 338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97,52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1 283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1 289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96,34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1 246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97,12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1 256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97,44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1 306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104,82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Индивидуальные предприниматели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2 992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102,26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3 113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104,43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3 171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105,98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3 274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105,17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3 280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103,44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3 402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103,91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Среднесписочная численность работающих на малых и средних предприятиях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 человек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10,06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101,48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9,89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97,81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9,85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97,95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9,74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98,41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9,75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98,96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9,80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100,66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8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16.4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Доля работающих на  малых и средних предприятиях в общей численности работающих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19,9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19,8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19,7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19,5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19,5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19,6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69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16.5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Оборот предприятий малого и среднего предпринимательства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млрд 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10,11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103,27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41,01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102,24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10,19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100,79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42,04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102,50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10,38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101,86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42,96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102,20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16.6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2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Количество самозанятых граждан, зафиксировавших свой статус и применяющих специальных налоговый режим «Налог на профессиональный доход», нарастающим итогом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тыс. человек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0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4,26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147,00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5,66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145,41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6,21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145,83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6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8,08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142,85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8,60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5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138,53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2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9,58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118,59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r>
          </w:p>
        </w:tc>
      </w:tr>
    </w:tbl>
    <w:p>
      <w:pPr>
        <w:rPr>
          <w:rFonts w:ascii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hAnsi="Times New Roman" w:eastAsia="Times New Roman" w:cs="Times New Roman"/>
          <w:b w:val="0"/>
          <w:bCs w:val="0"/>
          <w:sz w:val="20"/>
          <w:szCs w:val="20"/>
        </w:rPr>
      </w:r>
      <w:r>
        <w:rPr>
          <w:rFonts w:ascii="Times New Roman" w:hAnsi="Times New Roman" w:eastAsia="Times New Roman" w:cs="Times New Roman"/>
          <w:b w:val="0"/>
          <w:bCs w:val="0"/>
          <w:sz w:val="20"/>
          <w:szCs w:val="20"/>
        </w:rPr>
      </w:r>
    </w:p>
    <w:sectPr>
      <w:footnotePr/>
      <w:endnotePr/>
      <w:type w:val="nextPage"/>
      <w:pgSz w:w="16838" w:h="11906" w:orient="landscape"/>
      <w:pgMar w:top="1701" w:right="1134" w:bottom="850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burkovalz</cp:lastModifiedBy>
  <cp:revision>1</cp:revision>
  <dcterms:modified xsi:type="dcterms:W3CDTF">2025-05-12T09:31:41Z</dcterms:modified>
</cp:coreProperties>
</file>