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0" w:right="0" w:firstLine="0"/>
        <w:jc w:val="center"/>
        <w:spacing w:after="0" w:line="240" w:lineRule="auto"/>
        <w:tabs>
          <w:tab w:val="clear" w:pos="0" w:leader="none"/>
          <w:tab w:val="clear" w:pos="804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Итоги </w:t>
      </w:r>
      <w:r>
        <w:rPr>
          <w:rFonts w:ascii="Times New Roman" w:hAnsi="Times New Roman" w:cs="Times New Roman"/>
          <w:b/>
          <w:sz w:val="28"/>
          <w:szCs w:val="28"/>
        </w:rPr>
        <w:t xml:space="preserve"> социально-экономического развития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contextualSpacing/>
        <w:ind w:left="0" w:right="0" w:firstLine="0"/>
        <w:jc w:val="center"/>
        <w:spacing w:after="0" w:line="240" w:lineRule="auto"/>
        <w:tabs>
          <w:tab w:val="clear" w:pos="0" w:leader="none"/>
          <w:tab w:val="clear" w:pos="804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</w:t>
      </w:r>
      <w:r>
        <w:rPr>
          <w:rFonts w:ascii="Times New Roman" w:hAnsi="Times New Roman" w:cs="Times New Roman"/>
          <w:b/>
          <w:sz w:val="28"/>
          <w:szCs w:val="28"/>
        </w:rPr>
        <w:t xml:space="preserve">д Нефтеюганск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contextualSpacing/>
        <w:ind w:left="0" w:right="0" w:firstLine="0"/>
        <w:jc w:val="center"/>
        <w:spacing w:after="0" w:line="240" w:lineRule="auto"/>
        <w:tabs>
          <w:tab w:val="clear" w:pos="0" w:leader="none"/>
          <w:tab w:val="clear" w:pos="804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 </w:t>
      </w:r>
      <w:r>
        <w:rPr>
          <w:rFonts w:ascii="Times New Roman" w:hAnsi="Times New Roman" w:cs="Times New Roman"/>
          <w:b/>
          <w:sz w:val="28"/>
          <w:szCs w:val="28"/>
        </w:rPr>
        <w:t xml:space="preserve">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ind w:left="0" w:right="0" w:firstLine="0"/>
        <w:jc w:val="center"/>
        <w:spacing w:after="0" w:line="240" w:lineRule="auto"/>
        <w:tabs>
          <w:tab w:val="clear" w:pos="0" w:leader="none"/>
          <w:tab w:val="clear" w:pos="8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360" w:lineRule="auto"/>
        <w:rPr>
          <w14:ligatures w14:val="none"/>
        </w:rPr>
      </w:pPr>
      <w:r>
        <w:t xml:space="preserve">По </w:t>
      </w:r>
      <w:r>
        <w:t xml:space="preserve">состоянию </w:t>
      </w:r>
      <w:r>
        <w:t xml:space="preserve">на 1 января 2025 года среднегодовая численность </w:t>
      </w:r>
      <w:r>
        <w:t xml:space="preserve">постоянного </w:t>
      </w:r>
      <w:r>
        <w:t xml:space="preserve">населения </w:t>
      </w:r>
      <w:r>
        <w:t xml:space="preserve">города </w:t>
      </w:r>
      <w:r>
        <w:t xml:space="preserve">составила </w:t>
      </w:r>
      <w:r>
        <w:t xml:space="preserve">127 320</w:t>
      </w:r>
      <w:r>
        <w:t xml:space="preserve"> человек. </w:t>
      </w:r>
      <w:r>
        <w:rPr>
          <w14:ligatures w14:val="none"/>
        </w:rPr>
      </w:r>
      <w:r>
        <w:rPr>
          <w14:ligatures w14:val="none"/>
        </w:rPr>
      </w:r>
    </w:p>
    <w:p>
      <w:pPr>
        <w:spacing w:line="360" w:lineRule="auto"/>
        <w:rPr>
          <w14:ligatures w14:val="none"/>
        </w:rPr>
      </w:pPr>
      <w:r>
        <w:t xml:space="preserve">За 2024 год в </w:t>
      </w:r>
      <w:r>
        <w:t xml:space="preserve">город</w:t>
      </w:r>
      <w:r>
        <w:t xml:space="preserve">е</w:t>
      </w:r>
      <w:r>
        <w:t xml:space="preserve"> Нефтеюганск</w:t>
      </w:r>
      <w:r>
        <w:t xml:space="preserve">е</w:t>
      </w:r>
      <w:r>
        <w:t xml:space="preserve"> </w:t>
      </w:r>
      <w:r>
        <w:t xml:space="preserve">родилось 1 27</w:t>
      </w:r>
      <w:r>
        <w:t xml:space="preserve">7</w:t>
      </w:r>
      <w:r>
        <w:t xml:space="preserve"> человек</w:t>
      </w:r>
      <w:r>
        <w:t xml:space="preserve"> (за 2023 год – 1 252 человека),</w:t>
      </w:r>
      <w:r>
        <w:t xml:space="preserve"> умерло </w:t>
      </w:r>
      <w:r>
        <w:t xml:space="preserve">834</w:t>
      </w:r>
      <w:r>
        <w:t xml:space="preserve"> жител</w:t>
      </w:r>
      <w:r>
        <w:t xml:space="preserve">я</w:t>
      </w:r>
      <w:r>
        <w:t xml:space="preserve"> города, (за 2023 год – 794 человека).  </w:t>
      </w:r>
      <w:r>
        <w:t xml:space="preserve">Сохранена положительная динамика численности населения.</w:t>
      </w:r>
      <w:r>
        <w:rPr>
          <w14:ligatures w14:val="none"/>
        </w:rPr>
      </w:r>
      <w:r>
        <w:rPr>
          <w14:ligatures w14:val="none"/>
        </w:rPr>
      </w:r>
    </w:p>
    <w:p>
      <w:pPr>
        <w:spacing w:line="360" w:lineRule="auto"/>
        <w:rPr>
          <w14:ligatures w14:val="none"/>
        </w:rPr>
      </w:pPr>
      <w:r>
        <w:t xml:space="preserve">Число супружеских пар, оформивших семейные отношения в 2024 году – 555 (за 2023 год – 632 пары). Число супружеских пар, расторгнувших семейные отношения – 609 (за 2023 год - 649 пар).</w:t>
      </w:r>
      <w:r>
        <w:rPr>
          <w14:ligatures w14:val="none"/>
        </w:rPr>
      </w:r>
      <w:r>
        <w:rPr>
          <w14:ligatures w14:val="none"/>
        </w:rPr>
      </w:r>
    </w:p>
    <w:p>
      <w:pPr>
        <w:spacing w:line="360" w:lineRule="auto"/>
        <w:rPr>
          <w14:ligatures w14:val="none"/>
        </w:rPr>
      </w:pPr>
      <w:r>
        <w:rPr>
          <w:lang w:eastAsia="en-US"/>
        </w:rPr>
        <w:t xml:space="preserve">По данным казённого учреждения «Нефтеюганский центр занятости населения» </w:t>
      </w:r>
      <w:r>
        <w:rPr>
          <w:lang w:eastAsia="en-US"/>
        </w:rPr>
        <w:t xml:space="preserve">по итогам 2024 года</w:t>
      </w:r>
      <w:r>
        <w:rPr>
          <w:lang w:eastAsia="en-US"/>
        </w:rPr>
        <w:t xml:space="preserve"> численность официально зарегистрированных безработных составила </w:t>
      </w:r>
      <w:r>
        <w:rPr>
          <w:lang w:eastAsia="en-US"/>
        </w:rPr>
        <w:t xml:space="preserve">27</w:t>
      </w:r>
      <w:r>
        <w:rPr>
          <w:lang w:eastAsia="en-US"/>
        </w:rPr>
        <w:t xml:space="preserve"> человек (за 2023 год – </w:t>
      </w:r>
      <w:r>
        <w:rPr>
          <w:lang w:eastAsia="en-US"/>
        </w:rPr>
        <w:t xml:space="preserve">43 человека</w:t>
      </w:r>
      <w:r>
        <w:rPr>
          <w:lang w:eastAsia="en-US"/>
        </w:rPr>
        <w:t xml:space="preserve">). </w:t>
      </w:r>
      <w:r>
        <w:rPr>
          <w14:ligatures w14:val="none"/>
        </w:rPr>
      </w:r>
      <w:r>
        <w:rPr>
          <w14:ligatures w14:val="none"/>
        </w:rPr>
      </w:r>
    </w:p>
    <w:p>
      <w:pPr>
        <w:spacing w:line="360" w:lineRule="auto"/>
        <w:rPr>
          <w14:ligatures w14:val="none"/>
        </w:rPr>
      </w:pPr>
      <w:r>
        <w:rPr>
          <w:lang w:eastAsia="en-US"/>
        </w:rPr>
        <w:t xml:space="preserve">Вновь создано </w:t>
      </w:r>
      <w:r>
        <w:rPr>
          <w:lang w:eastAsia="en-US"/>
        </w:rPr>
        <w:t xml:space="preserve">17</w:t>
      </w:r>
      <w:r>
        <w:rPr>
          <w:lang w:eastAsia="en-US"/>
        </w:rPr>
        <w:t xml:space="preserve"> постоянных рабочих мест и 1 </w:t>
      </w:r>
      <w:r>
        <w:rPr>
          <w:lang w:eastAsia="en-US"/>
        </w:rPr>
        <w:t xml:space="preserve">301</w:t>
      </w:r>
      <w:r>
        <w:rPr>
          <w:lang w:eastAsia="en-US"/>
        </w:rPr>
        <w:t xml:space="preserve"> временн</w:t>
      </w:r>
      <w:r>
        <w:rPr>
          <w:lang w:eastAsia="en-US"/>
        </w:rPr>
        <w:t xml:space="preserve">ое место</w:t>
      </w:r>
      <w:r>
        <w:rPr>
          <w:lang w:eastAsia="en-US"/>
        </w:rPr>
        <w:t xml:space="preserve">.</w:t>
      </w:r>
      <w:r>
        <w:rPr>
          <w14:ligatures w14:val="none"/>
        </w:rPr>
      </w:r>
      <w:r>
        <w:rPr>
          <w14:ligatures w14:val="none"/>
        </w:rPr>
      </w:r>
    </w:p>
    <w:p>
      <w:pPr>
        <w:spacing w:line="360" w:lineRule="auto"/>
        <w:rPr>
          <w14:ligatures w14:val="none"/>
        </w:rPr>
      </w:pPr>
      <w:r>
        <w:t xml:space="preserve">При этом</w:t>
      </w:r>
      <w:r>
        <w:t xml:space="preserve">,</w:t>
      </w:r>
      <w:r>
        <w:t xml:space="preserve"> потребность в работниках, заявленная работодателями на конец от</w:t>
      </w:r>
      <w:r>
        <w:t xml:space="preserve">четного периода</w:t>
      </w:r>
      <w:r>
        <w:t xml:space="preserve">,</w:t>
      </w:r>
      <w:r>
        <w:t xml:space="preserve"> составляет </w:t>
      </w:r>
      <w:r>
        <w:t xml:space="preserve">3 817</w:t>
      </w:r>
      <w:r>
        <w:t xml:space="preserve"> единиц</w:t>
      </w:r>
      <w:r>
        <w:t xml:space="preserve"> (в 2023 году – 2 485 единиц)</w:t>
      </w:r>
      <w:r>
        <w:t xml:space="preserve">. </w:t>
      </w:r>
      <w:r>
        <w:t xml:space="preserve">Нагрузка незанятого трудовой деятельностью населения на 100 заявленных вакансий</w:t>
      </w:r>
      <w:r>
        <w:t xml:space="preserve"> </w:t>
      </w:r>
      <w:r>
        <w:t xml:space="preserve">–</w:t>
      </w:r>
      <w:r>
        <w:t xml:space="preserve"> </w:t>
      </w:r>
      <w:r>
        <w:t xml:space="preserve">1,3</w:t>
      </w:r>
      <w:r>
        <w:t xml:space="preserve"> </w:t>
      </w:r>
      <w:r>
        <w:t xml:space="preserve">(в 2023 году – 2,7)</w:t>
      </w:r>
      <w:r>
        <w:t xml:space="preserve">.</w:t>
      </w:r>
      <w:r>
        <w:t xml:space="preserve"> </w:t>
      </w:r>
      <w:r>
        <w:rPr>
          <w14:ligatures w14:val="none"/>
        </w:rPr>
      </w:r>
      <w:r>
        <w:rPr>
          <w14:ligatures w14:val="none"/>
        </w:rPr>
      </w:r>
    </w:p>
    <w:p>
      <w:pPr>
        <w:spacing w:line="360" w:lineRule="auto"/>
        <w:rPr>
          <w14:ligatures w14:val="none"/>
        </w:rPr>
      </w:pPr>
      <w:r>
        <w:rPr>
          <w:lang w:eastAsia="en-US"/>
        </w:rPr>
        <w:t xml:space="preserve">По предварительной оценке, объём отгруженных товаров собственного производства, выполненных работ и услуг собственными силами по крупным и средним организациям – производителям промышленной продукции за 2024 год составил </w:t>
      </w:r>
      <w:r>
        <w:rPr>
          <w:lang w:eastAsia="en-US"/>
        </w:rPr>
        <w:t xml:space="preserve">169 989,0</w:t>
      </w:r>
      <w:r>
        <w:rPr>
          <w:lang w:eastAsia="en-US"/>
        </w:rPr>
        <w:t xml:space="preserve"> млн. руб.</w:t>
      </w:r>
      <w:r>
        <w:rPr>
          <w:lang w:eastAsia="en-US"/>
        </w:rPr>
        <w:t xml:space="preserve">, индекс промышленного производства по итогам года в сопоставимых ценах составил 101,1%.</w:t>
      </w:r>
      <w:r>
        <w:rPr>
          <w14:ligatures w14:val="none"/>
        </w:rPr>
      </w:r>
      <w:r>
        <w:rPr>
          <w14:ligatures w14:val="none"/>
        </w:rPr>
      </w:r>
    </w:p>
    <w:p>
      <w:pPr>
        <w:spacing w:line="360" w:lineRule="auto"/>
        <w:rPr>
          <w14:ligatures w14:val="none"/>
        </w:rPr>
      </w:pPr>
      <w:r>
        <w:rPr>
          <w:lang w:eastAsia="en-US"/>
        </w:rPr>
        <w:t xml:space="preserve">Характеристика динамики развития базовых видов промышленной деятельности: </w:t>
      </w:r>
      <w:r>
        <w:rPr>
          <w14:ligatures w14:val="none"/>
        </w:rPr>
      </w:r>
      <w:r>
        <w:rPr>
          <w14:ligatures w14:val="none"/>
        </w:rPr>
      </w:r>
    </w:p>
    <w:p>
      <w:pPr>
        <w:spacing w:line="360" w:lineRule="auto"/>
        <w:rPr>
          <w14:ligatures w14:val="none"/>
        </w:rPr>
      </w:pPr>
      <w:r>
        <w:rPr>
          <w:lang w:eastAsia="en-US"/>
        </w:rPr>
        <w:t xml:space="preserve">-«добыча полезных ископаемых» - </w:t>
      </w:r>
      <w:r>
        <w:rPr>
          <w:lang w:eastAsia="en-US"/>
        </w:rPr>
        <w:t xml:space="preserve">124 462,2</w:t>
      </w:r>
      <w:r>
        <w:rPr>
          <w:lang w:eastAsia="en-US"/>
        </w:rPr>
        <w:t xml:space="preserve"> млн. руб.</w:t>
      </w:r>
      <w:r>
        <w:rPr>
          <w:lang w:eastAsia="en-US"/>
        </w:rPr>
        <w:t xml:space="preserve">;</w:t>
      </w:r>
      <w:r>
        <w:rPr>
          <w14:ligatures w14:val="none"/>
        </w:rPr>
      </w:r>
      <w:r>
        <w:rPr>
          <w14:ligatures w14:val="none"/>
        </w:rPr>
      </w:r>
    </w:p>
    <w:p>
      <w:pPr>
        <w:spacing w:line="360" w:lineRule="auto"/>
        <w:rPr>
          <w14:ligatures w14:val="none"/>
        </w:rPr>
      </w:pPr>
      <w:r>
        <w:rPr>
          <w:lang w:eastAsia="en-US"/>
        </w:rPr>
        <w:t xml:space="preserve">-«обрабатывающие производства» - </w:t>
      </w:r>
      <w:r>
        <w:rPr>
          <w:lang w:eastAsia="en-US"/>
        </w:rPr>
        <w:t xml:space="preserve">12</w:t>
      </w:r>
      <w:r>
        <w:rPr>
          <w:lang w:eastAsia="en-US"/>
        </w:rPr>
        <w:t xml:space="preserve"> 476,6</w:t>
      </w:r>
      <w:r>
        <w:rPr>
          <w:lang w:eastAsia="en-US"/>
        </w:rPr>
        <w:t xml:space="preserve"> млн. руб.;</w:t>
      </w:r>
      <w:r>
        <w:rPr>
          <w14:ligatures w14:val="none"/>
        </w:rPr>
      </w:r>
      <w:r>
        <w:rPr>
          <w14:ligatures w14:val="none"/>
        </w:rPr>
      </w:r>
    </w:p>
    <w:p>
      <w:pPr>
        <w:spacing w:line="360" w:lineRule="auto"/>
        <w:rPr>
          <w14:ligatures w14:val="none"/>
        </w:rPr>
      </w:pPr>
      <w:r>
        <w:rPr>
          <w:lang w:eastAsia="en-US"/>
        </w:rPr>
        <w:t xml:space="preserve">-«обеспечение электрической энергией, газом и паром; кондиционирование воздуха» -   </w:t>
      </w:r>
      <w:r>
        <w:rPr>
          <w:lang w:eastAsia="en-US"/>
        </w:rPr>
        <w:t xml:space="preserve">20 894,9</w:t>
      </w:r>
      <w:r>
        <w:rPr>
          <w:lang w:eastAsia="en-US"/>
        </w:rPr>
        <w:t xml:space="preserve"> млн. руб.</w:t>
      </w:r>
      <w:r>
        <w:rPr>
          <w:lang w:eastAsia="en-US"/>
        </w:rPr>
        <w:t xml:space="preserve">;</w:t>
      </w:r>
      <w:r>
        <w:rPr>
          <w14:ligatures w14:val="none"/>
        </w:rPr>
      </w:r>
      <w:r>
        <w:rPr>
          <w14:ligatures w14:val="none"/>
        </w:rPr>
      </w:r>
    </w:p>
    <w:p>
      <w:pPr>
        <w:spacing w:line="360" w:lineRule="auto"/>
        <w:rPr>
          <w14:ligatures w14:val="none"/>
        </w:rPr>
      </w:pPr>
      <w:r>
        <w:rPr>
          <w:lang w:eastAsia="en-US"/>
        </w:rPr>
        <w:t xml:space="preserve">-«водоснабжение; водоотведение, организация сбора и утилизации отходов, деятельность по ликвидации загрязнений» -</w:t>
      </w:r>
      <w:r>
        <w:rPr>
          <w:lang w:eastAsia="en-US"/>
        </w:rPr>
        <w:t xml:space="preserve">12 155,3</w:t>
      </w:r>
      <w:r>
        <w:rPr>
          <w:lang w:eastAsia="en-US"/>
        </w:rPr>
        <w:t xml:space="preserve"> млн. руб.</w:t>
      </w:r>
      <w:r>
        <w:rPr>
          <w14:ligatures w14:val="none"/>
        </w:rPr>
      </w:r>
      <w:r>
        <w:rPr>
          <w14:ligatures w14:val="none"/>
        </w:rPr>
      </w:r>
    </w:p>
    <w:p>
      <w:pPr>
        <w:spacing w:line="360" w:lineRule="auto"/>
        <w:rPr>
          <w14:ligatures w14:val="none"/>
        </w:rPr>
      </w:pPr>
      <w:r>
        <w:rPr>
          <w:lang w:eastAsia="en-US"/>
        </w:rPr>
        <w:t xml:space="preserve">Добыча полезных ископаемых остается определяющим вектором в экономике города.</w:t>
      </w:r>
      <w:r>
        <w:rPr>
          <w14:ligatures w14:val="none"/>
        </w:rPr>
      </w:r>
      <w:r>
        <w:rPr>
          <w14:ligatures w14:val="none"/>
        </w:rPr>
      </w:r>
    </w:p>
    <w:p>
      <w:pPr>
        <w:spacing w:line="360" w:lineRule="auto"/>
        <w:rPr>
          <w14:ligatures w14:val="none"/>
        </w:rPr>
      </w:pPr>
      <w:r>
        <w:t xml:space="preserve">Объем инвестиций в основной капитал за счет всех источников финансирования за 2024 год составил </w:t>
      </w:r>
      <w:r>
        <w:t xml:space="preserve">40 103,8</w:t>
      </w:r>
      <w:r>
        <w:t xml:space="preserve"> млн. руб.,</w:t>
      </w:r>
      <w:r>
        <w:t xml:space="preserve"> </w:t>
      </w:r>
      <w:r>
        <w:t xml:space="preserve">из них за счет собственных средств - 37 177,6 млн. рублей, привлеченные средства – 2 926,</w:t>
      </w:r>
      <w:r>
        <w:t xml:space="preserve">2</w:t>
      </w:r>
      <w:r>
        <w:t xml:space="preserve"> млн. рублей</w:t>
      </w:r>
      <w:r>
        <w:t xml:space="preserve">. </w:t>
      </w:r>
      <w:r>
        <w:t xml:space="preserve">Индекс физического объема инвестиций за 2024 год в сопоставимых ценах - 102,6%.</w:t>
      </w:r>
      <w:r>
        <w:rPr>
          <w14:ligatures w14:val="none"/>
        </w:rPr>
      </w:r>
      <w:r>
        <w:rPr>
          <w14:ligatures w14:val="none"/>
        </w:rPr>
      </w:r>
    </w:p>
    <w:p>
      <w:pPr>
        <w:contextualSpacing/>
        <w:ind w:firstLine="709"/>
        <w:jc w:val="both"/>
        <w:keepLines/>
        <w:keepNext/>
        <w:spacing w:after="0" w:line="360" w:lineRule="auto"/>
        <w:widowControl/>
        <w:tabs>
          <w:tab w:val="left" w:pos="0" w:leader="none"/>
        </w:tabs>
        <w:rPr>
          <w:highlight w:val="none"/>
          <w14:ligatures w14:val="none"/>
        </w:rPr>
        <w:pBdr>
          <w:bottom w:val="single" w:color="FFFFFF" w:sz="4" w:space="28"/>
        </w:pBdr>
        <w:suppressLineNumbers w:val="0"/>
      </w:pPr>
      <w:r>
        <w:t xml:space="preserve">На 2024 год запланирован показатель «Объем жилищного строительства» в объеме 85,0 тыс.кв.м., в том числе индивидуальное жилищное строительство общей площадью 16,57 тыс.кв.м. </w:t>
      </w:r>
      <w:r>
        <w:t xml:space="preserve">За 2024 год</w:t>
      </w:r>
      <w:r>
        <w:t xml:space="preserve"> введено в эксплуатацию 89,77 тыс.кв.м., в том числе</w:t>
      </w:r>
      <w:r>
        <w:t xml:space="preserve"> </w:t>
      </w:r>
      <w:r>
        <w:t xml:space="preserve">8 многоквартирных домов площадью – 83,35 тыс.кв.м., 42 индивидуальных жилых дома общей площадью 6,41 тыс.кв.м. Таким образом, исполнение плана ввода жилых домов в городе Нефтеюганске за 2024 год</w:t>
      </w:r>
      <w:r>
        <w:t xml:space="preserve"> составило 105,6 %.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contextualSpacing/>
        <w:ind w:firstLine="709"/>
        <w:jc w:val="both"/>
        <w:keepLines/>
        <w:spacing w:after="0" w:line="360" w:lineRule="auto"/>
        <w:tabs>
          <w:tab w:val="left" w:pos="804" w:leader="none"/>
        </w:tabs>
        <w:rPr>
          <w14:ligatures w14:val="none"/>
        </w:rPr>
      </w:pPr>
      <w:r>
        <w:rPr>
          <w:lang w:eastAsia="en-US"/>
        </w:rPr>
        <w:t xml:space="preserve">По состоянию на 1 января 2025 года среднедушевые денежные доходы населения составили 73 386,05 рублей. </w:t>
      </w:r>
      <w:r>
        <w:rPr>
          <w14:ligatures w14:val="none"/>
        </w:rPr>
      </w:r>
      <w:r>
        <w:rPr>
          <w14:ligatures w14:val="none"/>
        </w:rPr>
      </w:r>
    </w:p>
    <w:p>
      <w:pPr>
        <w:contextualSpacing/>
        <w:ind w:firstLine="709"/>
        <w:jc w:val="both"/>
        <w:keepLines/>
        <w:spacing w:after="160" w:line="360" w:lineRule="auto"/>
        <w:tabs>
          <w:tab w:val="left" w:pos="804" w:leader="none"/>
        </w:tabs>
        <w:rPr>
          <w14:ligatures w14:val="none"/>
        </w:rPr>
      </w:pPr>
      <w:r>
        <w:rPr>
          <w:lang w:eastAsia="en-US"/>
        </w:rPr>
        <w:t xml:space="preserve">По данным Управления федеральной службы государственной статистики по Тюменской области, ХМАО и ЯНАО (Тюменьстат) </w:t>
      </w:r>
      <w:r>
        <w:rPr>
          <w:lang w:eastAsia="en-US"/>
        </w:rPr>
        <w:t xml:space="preserve">среднемесячная номинальная </w:t>
      </w:r>
      <w:r>
        <w:rPr>
          <w:lang w:eastAsia="en-US"/>
        </w:rPr>
        <w:t xml:space="preserve">начисленная заработная плата одного работающего по крупным и средним предприятиям </w:t>
      </w:r>
      <w:r>
        <w:rPr>
          <w:lang w:eastAsia="en-US"/>
        </w:rPr>
        <w:t xml:space="preserve">(без субъектов малого предпринимательства) </w:t>
      </w:r>
      <w:r>
        <w:rPr>
          <w:lang w:eastAsia="en-US"/>
        </w:rPr>
        <w:t xml:space="preserve">за 2024 год сложилась в размере </w:t>
      </w:r>
      <w:r>
        <w:rPr>
          <w:lang w:eastAsia="en-US"/>
        </w:rPr>
        <w:t xml:space="preserve">134 448,9</w:t>
      </w:r>
      <w:r>
        <w:rPr>
          <w:lang w:eastAsia="en-US"/>
        </w:rPr>
        <w:t xml:space="preserve"> рубл</w:t>
      </w:r>
      <w:r>
        <w:rPr>
          <w:lang w:eastAsia="en-US"/>
        </w:rPr>
        <w:t xml:space="preserve">ей (за 2023 год – </w:t>
      </w:r>
      <w:r>
        <w:rPr>
          <w:lang w:eastAsia="en-US"/>
        </w:rPr>
        <w:t xml:space="preserve">115 203,3</w:t>
      </w:r>
      <w:r>
        <w:rPr>
          <w:lang w:eastAsia="en-US"/>
        </w:rPr>
        <w:t xml:space="preserve"> рубля).</w:t>
      </w:r>
      <w:r>
        <w:rPr>
          <w14:ligatures w14:val="none"/>
        </w:rPr>
      </w:r>
      <w:r>
        <w:rPr>
          <w14:ligatures w14:val="none"/>
        </w:rPr>
      </w:r>
    </w:p>
    <w:p>
      <w:pPr>
        <w:contextualSpacing/>
        <w:ind w:firstLine="709"/>
        <w:jc w:val="both"/>
        <w:keepLines/>
        <w:spacing w:after="160" w:line="360" w:lineRule="auto"/>
        <w:tabs>
          <w:tab w:val="left" w:pos="804" w:leader="none"/>
        </w:tabs>
        <w:rPr>
          <w14:ligatures w14:val="none"/>
        </w:rPr>
      </w:pPr>
      <w:r>
        <w:rPr>
          <w:lang w:eastAsia="en-US"/>
        </w:rPr>
      </w:r>
      <w:r>
        <w:rPr>
          <w:lang w:eastAsia="en-US"/>
        </w:rPr>
        <w:t xml:space="preserve">По данным Отделения Фонда пенсионного социального страхования Российской Федерации по Ханты-Мансийскому автономному округу-Югре с</w:t>
      </w:r>
      <w:r>
        <w:rPr>
          <w:lang w:eastAsia="en-US"/>
        </w:rPr>
        <w:t xml:space="preserve">редний размер дохода пенсионера  на 1 января 2025 года достиг 33 469,09 рублей (на 1 января 2024 года – 30 303,2 рубля). </w:t>
      </w:r>
      <w:r>
        <w:rPr>
          <w14:ligatures w14:val="none"/>
        </w:rPr>
      </w:r>
      <w:r>
        <w:rPr>
          <w14:ligatures w14:val="none"/>
        </w:rPr>
      </w:r>
    </w:p>
    <w:p>
      <w:pPr>
        <w:spacing w:line="360" w:lineRule="auto"/>
        <w:rPr>
          <w14:ligatures w14:val="none"/>
        </w:rPr>
      </w:pPr>
      <w:r>
        <w:rPr>
          <w:lang w:eastAsia="en-US"/>
        </w:rPr>
      </w:r>
      <w:r>
        <w:rPr>
          <w:lang w:eastAsia="en-US" w:bidi="en-US"/>
        </w:rPr>
        <w:t xml:space="preserve">Оборот розничной торговли по всем формам проявления торговли за 2024 год составил 32 893,6 млн. рублей или 97,22 % в сопоставимых ценах. В расчете на 1 жителя составил 25</w:t>
      </w:r>
      <w:r>
        <w:rPr>
          <w:lang w:eastAsia="en-US" w:bidi="en-US"/>
        </w:rPr>
        <w:t xml:space="preserve">8</w:t>
      </w:r>
      <w:r>
        <w:rPr>
          <w:lang w:eastAsia="en-US" w:bidi="en-US"/>
        </w:rPr>
        <w:t xml:space="preserve">,</w:t>
      </w:r>
      <w:r>
        <w:rPr>
          <w:lang w:eastAsia="en-US" w:bidi="en-US"/>
        </w:rPr>
        <w:t xml:space="preserve">35</w:t>
      </w:r>
      <w:r>
        <w:rPr>
          <w:lang w:eastAsia="en-US" w:bidi="en-US"/>
        </w:rPr>
        <w:t xml:space="preserve"> тыс. рублей, рост по сравнению с 2023 годом – 10</w:t>
      </w:r>
      <w:r>
        <w:rPr>
          <w:lang w:eastAsia="en-US" w:bidi="en-US"/>
        </w:rPr>
        <w:t xml:space="preserve">3</w:t>
      </w:r>
      <w:r>
        <w:rPr>
          <w:lang w:eastAsia="en-US" w:bidi="en-US"/>
        </w:rPr>
        <w:t xml:space="preserve">,</w:t>
      </w:r>
      <w:r>
        <w:rPr>
          <w:lang w:eastAsia="en-US" w:bidi="en-US"/>
        </w:rPr>
        <w:t xml:space="preserve">78</w:t>
      </w:r>
      <w:r>
        <w:rPr>
          <w:lang w:eastAsia="en-US" w:bidi="en-US"/>
        </w:rPr>
        <w:t xml:space="preserve">%</w:t>
      </w:r>
      <w:r>
        <w:rPr>
          <w:lang w:eastAsia="en-US" w:bidi="en-US"/>
        </w:rPr>
        <w:t xml:space="preserve">.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873"/>
        <w:spacing w:line="360" w:lineRule="auto"/>
        <w:rPr>
          <w:lang w:eastAsia="en-US" w:bidi="en-US"/>
          <w14:ligatures w14:val="none"/>
        </w:rPr>
      </w:pPr>
      <w:r>
        <w:rPr>
          <w:lang w:eastAsia="en-US" w:bidi="en-US"/>
        </w:rPr>
      </w:r>
      <w:r>
        <w:rPr>
          <w:lang w:eastAsia="en-US" w:bidi="en-US"/>
        </w:rPr>
        <w:t xml:space="preserve">О</w:t>
      </w:r>
      <w:r>
        <w:rPr>
          <w:lang w:eastAsia="en-US" w:bidi="en-US"/>
        </w:rPr>
        <w:t xml:space="preserve">бщий объем реализации платных услуг населению, который включает в себя платежи за жилищно-коммунальные, бытовые услуги, услуги транспорта и связи, а также услуги в сфере образования, здравоохранения, спорта, культуры и прочее, за 2024 год составил 10 286,2</w:t>
      </w:r>
      <w:r>
        <w:rPr>
          <w:lang w:eastAsia="en-US" w:bidi="en-US"/>
        </w:rPr>
        <w:t xml:space="preserve">7 млн. рублей или 96,4 % в сопоставимых ценах к уровню предыдущего года. Объем реализации платных услуг на 1 жителя составил 80,79 тыс. рублей, что на 3,19 % выше уровня 2023 </w:t>
      </w:r>
      <w:r>
        <w:rPr>
          <w:lang w:eastAsia="en-US" w:bidi="en-US"/>
        </w:rPr>
        <w:t xml:space="preserve">года.</w:t>
      </w:r>
      <w:r>
        <w:rPr>
          <w:lang w:eastAsia="en-US" w:bidi="en-US"/>
          <w14:ligatures w14:val="none"/>
        </w:rPr>
      </w:r>
      <w:r>
        <w:rPr>
          <w:lang w:eastAsia="en-US" w:bidi="en-US"/>
          <w14:ligatures w14:val="none"/>
        </w:rPr>
      </w:r>
    </w:p>
    <w:p>
      <w:pPr>
        <w:pStyle w:val="873"/>
        <w:spacing w:line="360" w:lineRule="auto"/>
        <w:rPr>
          <w:lang w:eastAsia="en-US" w:bidi="en-US"/>
          <w14:ligatures w14:val="none"/>
        </w:rPr>
      </w:pPr>
      <w:r>
        <w:rPr>
          <w:lang w:eastAsia="en-US" w:bidi="en-US"/>
        </w:rPr>
      </w:r>
      <w:r>
        <w:rPr>
          <w:lang w:eastAsia="ru-RU" w:bidi="ru-RU"/>
        </w:rPr>
        <w:t xml:space="preserve">По данным из </w:t>
      </w:r>
      <w:r>
        <w:rPr>
          <w:lang w:eastAsia="ru-RU" w:bidi="ru-RU"/>
        </w:rPr>
        <w:t xml:space="preserve">Единого реестра субъектов малого и среднего предпринимательства</w:t>
      </w:r>
      <w:r>
        <w:rPr>
          <w:lang w:eastAsia="ru-RU" w:bidi="ru-RU"/>
        </w:rPr>
        <w:t xml:space="preserve"> на 1 января 2025 года на территории муниципального образования город Нефтеюганск действует 4 520 </w:t>
      </w:r>
      <w:r>
        <w:rPr>
          <w:lang w:eastAsia="ru-RU" w:bidi="ru-RU"/>
        </w:rPr>
        <w:t xml:space="preserve">субъектов малого и среднего предприн</w:t>
      </w:r>
      <w:r>
        <w:rPr>
          <w:lang w:eastAsia="ru-RU" w:bidi="ru-RU"/>
        </w:rPr>
        <w:t xml:space="preserve">имательства, в том числе: 1 096 микропредприятий, 129 малых,</w:t>
      </w:r>
      <w:r>
        <w:rPr>
          <w:lang w:eastAsia="ru-RU" w:bidi="ru-RU"/>
        </w:rPr>
        <w:t xml:space="preserve"> </w:t>
      </w:r>
      <w:r>
        <w:rPr>
          <w:lang w:eastAsia="ru-RU" w:bidi="ru-RU"/>
        </w:rPr>
        <w:t xml:space="preserve">21 средних предприятий и 3 274 индивидуальных предпринимателей без образования юридического лица.</w:t>
      </w:r>
      <w:r>
        <w:rPr>
          <w:lang w:eastAsia="ru-RU" w:bidi="ru-RU"/>
        </w:rPr>
        <w:t xml:space="preserve"> </w:t>
      </w:r>
      <w:r>
        <w:rPr>
          <w:lang w:eastAsia="ru-RU" w:bidi="ru-RU"/>
        </w:rPr>
        <w:t xml:space="preserve">На налоговом учёте состоят 8 078 физических лиц, применяющих специальный </w:t>
      </w:r>
      <w:r>
        <w:rPr>
          <w:lang w:eastAsia="ru-RU" w:bidi="ru-RU"/>
        </w:rPr>
        <w:t xml:space="preserve">налоговый режим «Налог на профессиональный доход».</w:t>
      </w:r>
      <w:r>
        <w:rPr>
          <w:lang w:eastAsia="en-US" w:bidi="en-US"/>
          <w14:ligatures w14:val="none"/>
        </w:rPr>
      </w:r>
      <w:r>
        <w:rPr>
          <w:lang w:eastAsia="en-US" w:bidi="en-US"/>
          <w14:ligatures w14:val="none"/>
        </w:rPr>
      </w:r>
    </w:p>
    <w:p>
      <w:pPr>
        <w:spacing w:line="360" w:lineRule="auto"/>
        <w:rPr>
          <w14:ligatures w14:val="none"/>
        </w:rPr>
      </w:pPr>
      <w:r>
        <w:rPr>
          <w:lang w:eastAsia="ru-RU" w:bidi="ru-RU"/>
        </w:rPr>
        <w:t xml:space="preserve">Число учащихся общеобразовательных организаций в 2024 году 15 536 человек, в том числе 164 учащихся</w:t>
      </w:r>
      <w:r>
        <w:rPr>
          <w:lang w:eastAsia="ru-RU" w:bidi="ru-RU"/>
        </w:rPr>
        <w:t xml:space="preserve"> ЧОУ</w:t>
      </w:r>
      <w:r>
        <w:rPr>
          <w:lang w:eastAsia="ru-RU" w:bidi="ru-RU"/>
        </w:rPr>
        <w:t xml:space="preserve"> «Н</w:t>
      </w:r>
      <w:r>
        <w:rPr>
          <w:lang w:eastAsia="ru-RU" w:bidi="ru-RU"/>
        </w:rPr>
        <w:t xml:space="preserve">П</w:t>
      </w:r>
      <w:r>
        <w:rPr>
          <w:lang w:eastAsia="ru-RU" w:bidi="ru-RU"/>
        </w:rPr>
        <w:t xml:space="preserve">Г» (2023 г. – 15 596 чел., в том числе 158 учащихся ЧОУ «НПГ»). Охват детей общим образованием составляет 100%. Обучение в две смены ведётся в 13 образовательных организациях, доля обучающихся, занимающихся во вторую смену составляет 34% (2023 г. – 34,7%).</w:t>
      </w:r>
      <w:r>
        <w:rPr>
          <w14:ligatures w14:val="none"/>
        </w:rPr>
      </w:r>
      <w:r>
        <w:rPr>
          <w14:ligatures w14:val="none"/>
        </w:rPr>
      </w:r>
    </w:p>
    <w:p>
      <w:pPr>
        <w:spacing w:line="360" w:lineRule="auto"/>
        <w:rPr>
          <w14:ligatures w14:val="none"/>
        </w:rPr>
      </w:pPr>
      <w:r>
        <w:rPr>
          <w:lang w:eastAsia="ru-RU" w:bidi="ru-RU"/>
        </w:rPr>
        <w:t xml:space="preserve">Всего в городе Нефтеюганске функционирует 199 спо</w:t>
      </w:r>
      <w:r>
        <w:rPr>
          <w:lang w:eastAsia="ru-RU" w:bidi="ru-RU"/>
        </w:rPr>
        <w:t xml:space="preserve">ртивных сооружения различной ведомственной принадлежности с единовременной пропускной способностью 5 310 человек, из них 92 плоскостных спортивных сооружения. За 2024 год проведено 288 спортивных мероприятия, в которых приняло участие более 11 297 человек.</w:t>
      </w:r>
      <w:r>
        <w:rPr>
          <w14:ligatures w14:val="none"/>
        </w:rPr>
      </w:r>
      <w:r>
        <w:rPr>
          <w14:ligatures w14:val="none"/>
        </w:rPr>
      </w:r>
    </w:p>
    <w:p>
      <w:pPr>
        <w:jc w:val="both"/>
        <w:spacing w:after="0" w:line="276" w:lineRule="auto"/>
        <w:shd w:val="clear" w:color="auto" w:fill="ffffff"/>
        <w:widowControl w:val="off"/>
        <w:tabs>
          <w:tab w:val="left" w:pos="0" w:leader="none"/>
        </w:tabs>
        <w:rPr>
          <w:highlight w:val="yellow"/>
          <w14:ligatures w14:val="none"/>
        </w:rPr>
      </w:pPr>
      <w:r>
        <w:rPr>
          <w:highlight w:val="yellow"/>
        </w:rPr>
      </w:r>
      <w:r>
        <w:rPr>
          <w:highlight w:val="yellow"/>
          <w14:ligatures w14:val="none"/>
        </w:rPr>
      </w:r>
      <w:r>
        <w:rPr>
          <w:highlight w:val="yellow"/>
          <w14:ligatures w14:val="none"/>
        </w:rPr>
      </w:r>
    </w:p>
    <w:p>
      <w:pPr>
        <w:jc w:val="both"/>
        <w:spacing w:after="0" w:line="276" w:lineRule="auto"/>
        <w:shd w:val="clear" w:color="auto" w:fill="ffffff"/>
        <w:widowControl w:val="off"/>
        <w:tabs>
          <w:tab w:val="left" w:pos="0" w:leader="none"/>
        </w:tabs>
        <w:rPr>
          <w:highlight w:val="yellow"/>
          <w14:ligatures w14:val="none"/>
        </w:rPr>
      </w:pPr>
      <w:r>
        <w:rPr>
          <w:highlight w:val="yellow"/>
          <w:lang w:eastAsia="ru-RU" w:bidi="ru-RU"/>
        </w:rPr>
      </w:r>
      <w:r>
        <w:rPr>
          <w:highlight w:val="yellow"/>
          <w14:ligatures w14:val="none"/>
        </w:rPr>
      </w:r>
      <w:r>
        <w:rPr>
          <w:highlight w:val="yellow"/>
          <w14:ligatures w14:val="none"/>
        </w:rPr>
      </w:r>
    </w:p>
    <w:sectPr>
      <w:headerReference w:type="default" r:id="rId9"/>
      <w:footnotePr/>
      <w:endnotePr/>
      <w:type w:val="nextPage"/>
      <w:pgSz w:w="11906" w:h="16838" w:orient="portrait"/>
      <w:pgMar w:top="992" w:right="567" w:bottom="822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9004705"/>
      <w:docPartObj>
        <w:docPartGallery w:val="Page Numbers (Top of Page)"/>
        <w:docPartUnique w:val="true"/>
      </w:docPartObj>
      <w:rPr/>
    </w:sdtPr>
    <w:sdtContent>
      <w:p>
        <w:pPr>
          <w:pStyle w:val="8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60"/>
      <w:shd w:val="nil" w:color="auto"/>
      <w:tabs>
        <w:tab w:val="clear" w:pos="0" w:leader="none"/>
        <w:tab w:val="clear" w:pos="804" w:leader="none"/>
        <w:tab w:val="clear" w:pos="4677" w:leader="none"/>
        <w:tab w:val="clear" w:pos="9355" w:leader="none"/>
      </w:tabs>
      <w:rPr>
        <w14:ligatures w14:val="none"/>
      </w:rPr>
    </w:pPr>
    <w:r>
      <w:rPr>
        <w14:ligatures w14:val="none"/>
      </w:rPr>
    </w:r>
    <w:r>
      <w:rPr>
        <w14:ligatures w14:val="none"/>
      </w:rPr>
    </w:r>
    <w:r>
      <w:rPr>
        <w14:ligatures w14:val="none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  <w:color w:val="auto"/>
        <w:sz w:val="22"/>
        <w:szCs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1">
    <w:name w:val="Heading 1"/>
    <w:basedOn w:val="856"/>
    <w:next w:val="856"/>
    <w:link w:val="68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2">
    <w:name w:val="Heading 1 Char"/>
    <w:basedOn w:val="857"/>
    <w:link w:val="681"/>
    <w:uiPriority w:val="9"/>
    <w:rPr>
      <w:rFonts w:ascii="Arial" w:hAnsi="Arial" w:eastAsia="Arial" w:cs="Arial"/>
      <w:sz w:val="40"/>
      <w:szCs w:val="40"/>
    </w:rPr>
  </w:style>
  <w:style w:type="paragraph" w:styleId="683">
    <w:name w:val="Heading 2"/>
    <w:basedOn w:val="856"/>
    <w:next w:val="856"/>
    <w:link w:val="68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4">
    <w:name w:val="Heading 2 Char"/>
    <w:basedOn w:val="857"/>
    <w:link w:val="683"/>
    <w:uiPriority w:val="9"/>
    <w:rPr>
      <w:rFonts w:ascii="Arial" w:hAnsi="Arial" w:eastAsia="Arial" w:cs="Arial"/>
      <w:sz w:val="34"/>
    </w:rPr>
  </w:style>
  <w:style w:type="paragraph" w:styleId="685">
    <w:name w:val="Heading 3"/>
    <w:basedOn w:val="856"/>
    <w:next w:val="856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6">
    <w:name w:val="Heading 3 Char"/>
    <w:basedOn w:val="857"/>
    <w:link w:val="685"/>
    <w:uiPriority w:val="9"/>
    <w:rPr>
      <w:rFonts w:ascii="Arial" w:hAnsi="Arial" w:eastAsia="Arial" w:cs="Arial"/>
      <w:sz w:val="30"/>
      <w:szCs w:val="30"/>
    </w:rPr>
  </w:style>
  <w:style w:type="paragraph" w:styleId="687">
    <w:name w:val="Heading 4"/>
    <w:basedOn w:val="856"/>
    <w:next w:val="856"/>
    <w:link w:val="68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8">
    <w:name w:val="Heading 4 Char"/>
    <w:basedOn w:val="857"/>
    <w:link w:val="687"/>
    <w:uiPriority w:val="9"/>
    <w:rPr>
      <w:rFonts w:ascii="Arial" w:hAnsi="Arial" w:eastAsia="Arial" w:cs="Arial"/>
      <w:b/>
      <w:bCs/>
      <w:sz w:val="26"/>
      <w:szCs w:val="26"/>
    </w:rPr>
  </w:style>
  <w:style w:type="paragraph" w:styleId="689">
    <w:name w:val="Heading 5"/>
    <w:basedOn w:val="856"/>
    <w:next w:val="856"/>
    <w:link w:val="6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0">
    <w:name w:val="Heading 5 Char"/>
    <w:basedOn w:val="857"/>
    <w:link w:val="689"/>
    <w:uiPriority w:val="9"/>
    <w:rPr>
      <w:rFonts w:ascii="Arial" w:hAnsi="Arial" w:eastAsia="Arial" w:cs="Arial"/>
      <w:b/>
      <w:bCs/>
      <w:sz w:val="24"/>
      <w:szCs w:val="24"/>
    </w:rPr>
  </w:style>
  <w:style w:type="paragraph" w:styleId="691">
    <w:name w:val="Heading 6"/>
    <w:basedOn w:val="856"/>
    <w:next w:val="856"/>
    <w:link w:val="69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2">
    <w:name w:val="Heading 6 Char"/>
    <w:basedOn w:val="857"/>
    <w:link w:val="691"/>
    <w:uiPriority w:val="9"/>
    <w:rPr>
      <w:rFonts w:ascii="Arial" w:hAnsi="Arial" w:eastAsia="Arial" w:cs="Arial"/>
      <w:b/>
      <w:bCs/>
      <w:sz w:val="22"/>
      <w:szCs w:val="22"/>
    </w:rPr>
  </w:style>
  <w:style w:type="paragraph" w:styleId="693">
    <w:name w:val="Heading 7"/>
    <w:basedOn w:val="856"/>
    <w:next w:val="856"/>
    <w:link w:val="6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4">
    <w:name w:val="Heading 7 Char"/>
    <w:basedOn w:val="857"/>
    <w:link w:val="6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5">
    <w:name w:val="Heading 8"/>
    <w:basedOn w:val="856"/>
    <w:next w:val="856"/>
    <w:link w:val="6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6">
    <w:name w:val="Heading 8 Char"/>
    <w:basedOn w:val="857"/>
    <w:link w:val="695"/>
    <w:uiPriority w:val="9"/>
    <w:rPr>
      <w:rFonts w:ascii="Arial" w:hAnsi="Arial" w:eastAsia="Arial" w:cs="Arial"/>
      <w:i/>
      <w:iCs/>
      <w:sz w:val="22"/>
      <w:szCs w:val="22"/>
    </w:rPr>
  </w:style>
  <w:style w:type="paragraph" w:styleId="697">
    <w:name w:val="Heading 9"/>
    <w:basedOn w:val="856"/>
    <w:next w:val="856"/>
    <w:link w:val="6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8">
    <w:name w:val="Heading 9 Char"/>
    <w:basedOn w:val="857"/>
    <w:link w:val="697"/>
    <w:uiPriority w:val="9"/>
    <w:rPr>
      <w:rFonts w:ascii="Arial" w:hAnsi="Arial" w:eastAsia="Arial" w:cs="Arial"/>
      <w:i/>
      <w:iCs/>
      <w:sz w:val="21"/>
      <w:szCs w:val="21"/>
    </w:r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856"/>
    <w:next w:val="856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basedOn w:val="857"/>
    <w:link w:val="700"/>
    <w:uiPriority w:val="10"/>
    <w:rPr>
      <w:sz w:val="48"/>
      <w:szCs w:val="48"/>
    </w:rPr>
  </w:style>
  <w:style w:type="paragraph" w:styleId="702">
    <w:name w:val="Subtitle"/>
    <w:basedOn w:val="856"/>
    <w:next w:val="856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basedOn w:val="857"/>
    <w:link w:val="702"/>
    <w:uiPriority w:val="11"/>
    <w:rPr>
      <w:sz w:val="24"/>
      <w:szCs w:val="24"/>
    </w:rPr>
  </w:style>
  <w:style w:type="paragraph" w:styleId="704">
    <w:name w:val="Quote"/>
    <w:basedOn w:val="856"/>
    <w:next w:val="856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6"/>
    <w:next w:val="856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character" w:styleId="708">
    <w:name w:val="Header Char"/>
    <w:basedOn w:val="857"/>
    <w:link w:val="860"/>
    <w:uiPriority w:val="99"/>
  </w:style>
  <w:style w:type="character" w:styleId="709">
    <w:name w:val="Footer Char"/>
    <w:basedOn w:val="857"/>
    <w:link w:val="862"/>
    <w:uiPriority w:val="99"/>
  </w:style>
  <w:style w:type="paragraph" w:styleId="710">
    <w:name w:val="Caption"/>
    <w:basedOn w:val="856"/>
    <w:next w:val="856"/>
    <w:link w:val="7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857"/>
    <w:link w:val="710"/>
    <w:uiPriority w:val="35"/>
    <w:rPr>
      <w:b/>
      <w:bCs/>
      <w:color w:val="4f81bd" w:themeColor="accent1"/>
      <w:sz w:val="18"/>
      <w:szCs w:val="18"/>
    </w:rPr>
  </w:style>
  <w:style w:type="table" w:styleId="712">
    <w:name w:val="Table Grid"/>
    <w:basedOn w:val="85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Table Grid Light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2">
    <w:name w:val="List Table 7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3">
    <w:name w:val="List Table 7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4">
    <w:name w:val="List Table 7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5">
    <w:name w:val="List Table 7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6">
    <w:name w:val="List Table 7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7">
    <w:name w:val="Lined - Accent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9">
    <w:name w:val="Lined - Accent 2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0">
    <w:name w:val="Lined - Accent 3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1">
    <w:name w:val="Lined - Accent 4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2">
    <w:name w:val="Lined - Accent 5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3">
    <w:name w:val="Lined - Accent 6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4">
    <w:name w:val="Bordered &amp; Lined - Accent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6">
    <w:name w:val="Bordered &amp; Lined - Accent 2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7">
    <w:name w:val="Bordered &amp; Lined - Accent 3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8">
    <w:name w:val="Bordered &amp; Lined - Accent 4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9">
    <w:name w:val="Bordered &amp; Lined - Accent 5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0">
    <w:name w:val="Bordered &amp; Lined - Accent 6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1">
    <w:name w:val="Bordered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000ff" w:themeColor="hyperlink"/>
      <w:u w:val="single"/>
    </w:rPr>
  </w:style>
  <w:style w:type="paragraph" w:styleId="839">
    <w:name w:val="footnote text"/>
    <w:basedOn w:val="856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basedOn w:val="857"/>
    <w:uiPriority w:val="99"/>
    <w:unhideWhenUsed/>
    <w:rPr>
      <w:vertAlign w:val="superscript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basedOn w:val="857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next w:val="699"/>
    <w:qFormat/>
    <w:pPr>
      <w:contextualSpacing/>
      <w:ind w:left="0" w:firstLine="720"/>
      <w:jc w:val="both"/>
      <w:keepLines/>
      <w:spacing w:after="0" w:line="276" w:lineRule="auto"/>
      <w:shd w:val="clear" w:color="auto" w:fill="ffffff"/>
      <w:widowControl w:val="off"/>
      <w:tabs>
        <w:tab w:val="left" w:pos="0" w:leader="none"/>
        <w:tab w:val="left" w:pos="804" w:leader="none"/>
      </w:tabs>
      <w:pBdr>
        <w:bottom w:val="single" w:color="FFFFFF" w:sz="4" w:space="26"/>
      </w:pBdr>
    </w:pPr>
    <w:rPr>
      <w:rFonts w:ascii="Times New Roman" w:hAnsi="Times New Roman" w:eastAsia="Times New Roman" w:cs="Times New Roman"/>
      <w:color w:val="000000" w:themeColor="text1"/>
      <w:sz w:val="28"/>
      <w:szCs w:val="28"/>
      <w:lang w:eastAsia="en-US" w:bidi="en-US"/>
    </w:rPr>
  </w:style>
  <w:style w:type="character" w:styleId="857" w:default="1">
    <w:name w:val="Default Paragraph Font"/>
    <w:uiPriority w:val="1"/>
    <w:semiHidden/>
    <w:unhideWhenUsed/>
  </w:style>
  <w:style w:type="table" w:styleId="85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9" w:default="1">
    <w:name w:val="No List"/>
    <w:uiPriority w:val="99"/>
    <w:semiHidden/>
    <w:unhideWhenUsed/>
  </w:style>
  <w:style w:type="paragraph" w:styleId="860">
    <w:name w:val="Header"/>
    <w:basedOn w:val="856"/>
    <w:link w:val="8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1" w:customStyle="1">
    <w:name w:val="Верхний колонтитул Знак"/>
    <w:link w:val="860"/>
    <w:uiPriority w:val="99"/>
  </w:style>
  <w:style w:type="paragraph" w:styleId="862">
    <w:name w:val="Footer"/>
    <w:basedOn w:val="856"/>
    <w:link w:val="86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3" w:customStyle="1">
    <w:name w:val="Нижний колонтитул Знак"/>
    <w:basedOn w:val="857"/>
    <w:link w:val="862"/>
    <w:uiPriority w:val="99"/>
  </w:style>
  <w:style w:type="paragraph" w:styleId="864" w:customStyle="1">
    <w:name w:val="Style5"/>
    <w:basedOn w:val="856"/>
    <w:pPr>
      <w:ind w:firstLine="624"/>
      <w:jc w:val="both"/>
      <w:spacing w:after="0" w:line="322" w:lineRule="exact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65" w:customStyle="1">
    <w:name w:val="Font Style14"/>
    <w:rPr>
      <w:rFonts w:ascii="Times New Roman" w:hAnsi="Times New Roman" w:cs="Times New Roman"/>
      <w:sz w:val="26"/>
      <w:szCs w:val="26"/>
    </w:rPr>
  </w:style>
  <w:style w:type="paragraph" w:styleId="866">
    <w:name w:val="List Paragraph"/>
    <w:basedOn w:val="856"/>
    <w:link w:val="867"/>
    <w:uiPriority w:val="34"/>
    <w:qFormat/>
    <w:pPr>
      <w:contextualSpacing/>
      <w:ind w:left="0" w:firstLine="709"/>
      <w:jc w:val="both"/>
      <w:keepLines/>
      <w:spacing w:after="0" w:line="240" w:lineRule="auto"/>
    </w:pPr>
    <w:rPr>
      <w:rFonts w:ascii="Times New Roman" w:hAnsi="Times New Roman" w:eastAsiaTheme="minorHAnsi" w:cstheme="minorBidi"/>
      <w:sz w:val="24"/>
      <w:szCs w:val="24"/>
      <w:lang w:eastAsia="en-US"/>
    </w:rPr>
  </w:style>
  <w:style w:type="character" w:styleId="867" w:customStyle="1">
    <w:name w:val="Абзац списка Знак"/>
    <w:link w:val="866"/>
    <w:uiPriority w:val="34"/>
    <w:rPr>
      <w:rFonts w:ascii="Times New Roman" w:hAnsi="Times New Roman" w:eastAsiaTheme="minorHAnsi" w:cstheme="minorBidi"/>
      <w:sz w:val="24"/>
      <w:szCs w:val="24"/>
      <w:lang w:eastAsia="en-US"/>
    </w:rPr>
  </w:style>
  <w:style w:type="paragraph" w:styleId="868">
    <w:name w:val="Balloon Text"/>
    <w:basedOn w:val="856"/>
    <w:link w:val="86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69" w:customStyle="1">
    <w:name w:val="Текст выноски Знак"/>
    <w:basedOn w:val="857"/>
    <w:link w:val="868"/>
    <w:uiPriority w:val="99"/>
    <w:semiHidden/>
    <w:rPr>
      <w:rFonts w:ascii="Segoe UI" w:hAnsi="Segoe UI" w:cs="Segoe UI"/>
      <w:sz w:val="18"/>
      <w:szCs w:val="18"/>
    </w:rPr>
  </w:style>
  <w:style w:type="character" w:styleId="870" w:customStyle="1">
    <w:name w:val="без интервала_character"/>
    <w:link w:val="871"/>
    <w:rPr>
      <w:lang w:eastAsia="ru-RU" w:bidi="ru-RU"/>
    </w:rPr>
  </w:style>
  <w:style w:type="paragraph" w:styleId="871" w:customStyle="1">
    <w:name w:val="без интервала"/>
    <w:basedOn w:val="856"/>
    <w:next w:val="699"/>
    <w:link w:val="870"/>
    <w:qFormat/>
    <w:pPr>
      <w:ind w:firstLine="720"/>
      <w:jc w:val="both"/>
      <w:spacing w:after="0" w:line="276" w:lineRule="auto"/>
      <w:shd w:val="clear" w:color="auto" w:fill="ffffff"/>
      <w:widowControl w:val="off"/>
      <w:tabs>
        <w:tab w:val="left" w:pos="0" w:leader="none"/>
      </w:tabs>
    </w:pPr>
    <w:rPr>
      <w:lang w:eastAsia="ru-RU" w:bidi="ru-RU"/>
    </w:rPr>
  </w:style>
  <w:style w:type="character" w:styleId="872" w:customStyle="1">
    <w:name w:val="просто_character"/>
    <w:link w:val="873"/>
    <w:rPr>
      <w:lang w:eastAsia="en-US" w:bidi="en-US"/>
    </w:rPr>
  </w:style>
  <w:style w:type="paragraph" w:styleId="873" w:customStyle="1">
    <w:name w:val="просто"/>
    <w:basedOn w:val="856"/>
    <w:next w:val="699"/>
    <w:link w:val="872"/>
    <w:qFormat/>
    <w:pPr>
      <w:spacing w:line="276" w:lineRule="auto"/>
    </w:pPr>
    <w:rPr>
      <w:lang w:eastAsia="en-US" w:bidi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F081F1-CD95-441E-ABCA-4FE7FC5D9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соц экон прогнозов</dc:creator>
  <cp:keywords/>
  <dc:description/>
  <cp:lastModifiedBy>burkovalz</cp:lastModifiedBy>
  <cp:revision>923</cp:revision>
  <dcterms:created xsi:type="dcterms:W3CDTF">2020-09-28T09:33:00Z</dcterms:created>
  <dcterms:modified xsi:type="dcterms:W3CDTF">2025-05-06T06:26:54Z</dcterms:modified>
</cp:coreProperties>
</file>