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0FF" w:rsidRPr="007B5AF9" w:rsidRDefault="00B65CE6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Сводный</w:t>
      </w:r>
      <w:r w:rsidR="000C10FF" w:rsidRPr="007B5AF9">
        <w:rPr>
          <w:rFonts w:ascii="Times New Roman" w:hAnsi="Times New Roman"/>
          <w:sz w:val="28"/>
          <w:szCs w:val="28"/>
          <w:lang w:eastAsia="ru-RU"/>
        </w:rPr>
        <w:t xml:space="preserve"> отчет о результатах проведения оценки регулирующего воздействия проекта муниципального нормативного правового акта</w:t>
      </w: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5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4142"/>
      </w:tblGrid>
      <w:tr w:rsidR="000C10FF" w:rsidRPr="007B5AF9" w:rsidTr="00E32672">
        <w:trPr>
          <w:trHeight w:val="158"/>
        </w:trPr>
        <w:tc>
          <w:tcPr>
            <w:tcW w:w="500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Сроки проведения публичного обсуждения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проекта муниципального нормативного правового акта:</w:t>
            </w:r>
          </w:p>
        </w:tc>
      </w:tr>
      <w:tr w:rsidR="000C10FF" w:rsidRPr="007B5AF9" w:rsidTr="00E32672">
        <w:trPr>
          <w:trHeight w:val="158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начало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6671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667105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B65CE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67105">
              <w:rPr>
                <w:rFonts w:ascii="Times New Roman" w:hAnsi="Times New Roman"/>
                <w:sz w:val="28"/>
                <w:szCs w:val="28"/>
                <w:lang w:eastAsia="ru-RU"/>
              </w:rPr>
              <w:t>апреля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</w:t>
            </w:r>
            <w:r w:rsidR="00B65CE6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окончание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0C10FF" w:rsidRPr="008F409B" w:rsidRDefault="000C10FF" w:rsidP="006671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667105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8F409B"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67105">
              <w:rPr>
                <w:rFonts w:ascii="Times New Roman" w:hAnsi="Times New Roman"/>
                <w:sz w:val="28"/>
                <w:szCs w:val="28"/>
                <w:lang w:eastAsia="ru-RU"/>
              </w:rPr>
              <w:t>мая</w:t>
            </w: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</w:t>
            </w:r>
            <w:r w:rsidR="00B65CE6"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C10FF" w:rsidRPr="007B5AF9" w:rsidTr="00E32672">
        <w:trPr>
          <w:trHeight w:val="157"/>
        </w:trPr>
        <w:tc>
          <w:tcPr>
            <w:tcW w:w="500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замечаний и предложений, из них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66370D" w:rsidP="00E3267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 полностью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 частично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 учтено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C836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Кроме того, получено отзывов, содержащих информацию об одобрении текущей редакции проекта муниципального нормативного правового акта (об отсутствии замечаний и (или) предложений). </w:t>
            </w:r>
          </w:p>
        </w:tc>
        <w:tc>
          <w:tcPr>
            <w:tcW w:w="2241" w:type="pct"/>
            <w:shd w:val="clear" w:color="auto" w:fill="auto"/>
          </w:tcPr>
          <w:p w:rsidR="000C10FF" w:rsidRPr="00280396" w:rsidRDefault="007B62BA" w:rsidP="00C8360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0</w:t>
            </w:r>
          </w:p>
        </w:tc>
      </w:tr>
    </w:tbl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  <w:r w:rsidRPr="007B5AF9">
        <w:t>1.Общая информация</w:t>
      </w:r>
    </w:p>
    <w:p w:rsidR="000C10FF" w:rsidRPr="007B5AF9" w:rsidRDefault="000C10FF" w:rsidP="000C10FF">
      <w:pPr>
        <w:pStyle w:val="a3"/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337"/>
        <w:gridCol w:w="5271"/>
      </w:tblGrid>
      <w:tr w:rsidR="000C10FF" w:rsidRPr="007B5AF9" w:rsidTr="00E32672"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1.1.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0C10FF" w:rsidP="00704DB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 или с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труктурное подразделение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– разработчик):</w:t>
            </w:r>
            <w:r w:rsidR="00D670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04DBF" w:rsidRPr="00704DBF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 жилищно-коммунального хозяйства администрации города Нефтеюганска (ДЖКХ)</w:t>
            </w:r>
          </w:p>
        </w:tc>
      </w:tr>
      <w:tr w:rsidR="000C10FF" w:rsidRPr="007B5AF9" w:rsidTr="00704DBF">
        <w:trPr>
          <w:trHeight w:val="795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1.2.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704DBF" w:rsidP="00704DBF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 органах или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структурных подразделениях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соисполнителях: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отсутствуют.</w:t>
            </w:r>
          </w:p>
        </w:tc>
      </w:tr>
      <w:tr w:rsidR="000C10FF" w:rsidRPr="007B5AF9" w:rsidTr="00E32672">
        <w:trPr>
          <w:trHeight w:val="991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1.3.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704DBF" w:rsidRDefault="000C10FF" w:rsidP="00704DB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Вид и наименование проекта муниципального нормативного правового акта:</w:t>
            </w:r>
          </w:p>
          <w:p w:rsidR="000C10FF" w:rsidRPr="00FC09B1" w:rsidRDefault="00704DBF" w:rsidP="001C236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Pr="00704D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роект постановления администрации города Нефтеюганска </w:t>
            </w:r>
            <w:r w:rsidR="00FC09B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Pr="00704DBF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FC09B1" w:rsidRPr="00FC09B1">
              <w:rPr>
                <w:rFonts w:ascii="Times New Roman" w:hAnsi="Times New Roman"/>
                <w:sz w:val="28"/>
                <w:szCs w:val="28"/>
                <w:lang w:eastAsia="ru-RU"/>
              </w:rPr>
              <w:t>О внесении изменений в постановление администрации</w:t>
            </w:r>
            <w:r w:rsidR="00FC09B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C09B1" w:rsidRPr="00FC09B1">
              <w:rPr>
                <w:rFonts w:ascii="Times New Roman" w:hAnsi="Times New Roman"/>
                <w:sz w:val="28"/>
                <w:szCs w:val="28"/>
                <w:lang w:eastAsia="ru-RU"/>
              </w:rPr>
              <w:t>города Нефтеюганска от 14.05.2018 № 65-нп «Об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издержек»</w:t>
            </w:r>
            <w:r w:rsidR="00FC09B1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rPr>
          <w:trHeight w:val="1943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0C10FF" w:rsidP="00FC09B1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Краткое описание содержания предлагаемого правового регулирования, основание для разработки проекта муниципального нормативного правового акта: </w:t>
            </w:r>
            <w:r w:rsidR="002C4FE3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>проект разработан в соответствии со статьёй</w:t>
            </w:r>
            <w:r w:rsid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C4FE3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>78 Бюджетного кодекса Российской Федерации, Федеральным законом от 06.10.2003 № 131-ФЗ «Об общих принципах организации местного самоуправления Российской Федерации», постановлением Правитель</w:t>
            </w:r>
            <w:r w:rsidR="00FC09B1">
              <w:rPr>
                <w:rFonts w:ascii="Times New Roman" w:hAnsi="Times New Roman"/>
                <w:sz w:val="28"/>
                <w:szCs w:val="28"/>
                <w:lang w:eastAsia="ru-RU"/>
              </w:rPr>
              <w:t>ства Российской Федерации от 25.10.</w:t>
            </w:r>
            <w:r w:rsidR="002C4FE3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№ 1782 </w:t>
            </w:r>
            <w:r w:rsidR="00FC09B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    </w:t>
            </w:r>
            <w:r w:rsidR="002C4FE3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решением Думы города Нефтеюганска </w:t>
            </w:r>
            <w:r w:rsidR="009A540F" w:rsidRPr="008C1996">
              <w:rPr>
                <w:rFonts w:ascii="Times New Roman" w:eastAsia="Calibri" w:hAnsi="Times New Roman"/>
                <w:sz w:val="28"/>
                <w:szCs w:val="28"/>
              </w:rPr>
              <w:t>от 23.12.2024 № 700-VII «О бюджете города Нефтеюганска на 2025 год и плановый период 2026 и 2027 годов</w:t>
            </w:r>
            <w:r w:rsidR="009A540F" w:rsidRPr="009A540F">
              <w:rPr>
                <w:rFonts w:ascii="Times New Roman" w:eastAsia="Calibri" w:hAnsi="Times New Roman"/>
                <w:sz w:val="28"/>
                <w:szCs w:val="28"/>
              </w:rPr>
              <w:t>»</w:t>
            </w:r>
            <w:r w:rsidR="00FC09B1" w:rsidRPr="009A540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c>
          <w:tcPr>
            <w:tcW w:w="336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1.5.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FC09B1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09B1">
              <w:rPr>
                <w:rFonts w:ascii="Times New Roman" w:hAnsi="Times New Roman"/>
                <w:sz w:val="28"/>
                <w:szCs w:val="28"/>
                <w:lang w:eastAsia="ru-RU"/>
              </w:rPr>
              <w:t>Контактная информация исполнителя разработчика:</w:t>
            </w:r>
          </w:p>
        </w:tc>
      </w:tr>
      <w:tr w:rsidR="000C10FF" w:rsidRPr="007B5AF9" w:rsidTr="00E32672"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FC09B1" w:rsidRDefault="00667105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Клинова Карина Дмитриевна</w:t>
            </w:r>
          </w:p>
        </w:tc>
      </w:tr>
      <w:tr w:rsidR="000C10FF" w:rsidRPr="007B5AF9" w:rsidTr="00E32672"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C157E8" w:rsidRDefault="00C157E8" w:rsidP="00C157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eastAsia="ru-RU"/>
              </w:rPr>
              <w:t>главный специалист отдела экономической политики и мониторинга департамента жилищно-коммунального хозяйства администрации города Нефтеюганска</w:t>
            </w:r>
          </w:p>
        </w:tc>
      </w:tr>
      <w:tr w:rsidR="000C10FF" w:rsidRPr="007B5AF9" w:rsidTr="00E32672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7B5AF9" w:rsidRDefault="00C157E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val="en-US" w:eastAsia="ru-RU"/>
              </w:rPr>
              <w:t>8(3463) 23 77 49</w:t>
            </w:r>
          </w:p>
        </w:tc>
      </w:tr>
      <w:tr w:rsidR="000C10FF" w:rsidRPr="007B5AF9" w:rsidTr="00E32672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7B5AF9" w:rsidRDefault="00C157E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val="en-US" w:eastAsia="ru-RU"/>
              </w:rPr>
              <w:t>tarif.DJKH@admugansk.ru</w:t>
            </w:r>
          </w:p>
        </w:tc>
      </w:tr>
    </w:tbl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2.Степень регулирующего воздействия 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  <w:r>
        <w:rPr>
          <w:rFonts w:ascii="Times New Roman" w:hAnsi="Times New Roman"/>
          <w:sz w:val="28"/>
          <w:szCs w:val="28"/>
          <w:lang w:eastAsia="ru-RU"/>
        </w:rPr>
        <w:t>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46"/>
        <w:gridCol w:w="3969"/>
        <w:gridCol w:w="4530"/>
      </w:tblGrid>
      <w:tr w:rsidR="000C10FF" w:rsidRPr="00F53BA4" w:rsidTr="00CA1016">
        <w:tc>
          <w:tcPr>
            <w:tcW w:w="846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2.1</w:t>
            </w:r>
          </w:p>
        </w:tc>
        <w:tc>
          <w:tcPr>
            <w:tcW w:w="3969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530" w:type="dxa"/>
          </w:tcPr>
          <w:p w:rsidR="000C10FF" w:rsidRPr="00F53BA4" w:rsidRDefault="00C157E8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Средняя</w:t>
            </w:r>
          </w:p>
          <w:p w:rsidR="000C10FF" w:rsidRPr="00F53BA4" w:rsidRDefault="000C10FF" w:rsidP="00E326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F53BA4">
              <w:rPr>
                <w:rFonts w:ascii="Times New Roman" w:eastAsia="Calibri" w:hAnsi="Times New Roman"/>
                <w:i/>
                <w:sz w:val="28"/>
                <w:szCs w:val="28"/>
              </w:rPr>
              <w:t>(высокая/ средняя/ низкая)</w:t>
            </w:r>
          </w:p>
        </w:tc>
      </w:tr>
      <w:tr w:rsidR="000C10FF" w:rsidRPr="00F53BA4" w:rsidTr="00CA1016">
        <w:tc>
          <w:tcPr>
            <w:tcW w:w="846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2.2</w:t>
            </w:r>
          </w:p>
        </w:tc>
        <w:tc>
          <w:tcPr>
            <w:tcW w:w="8499" w:type="dxa"/>
            <w:gridSpan w:val="2"/>
          </w:tcPr>
          <w:p w:rsidR="000C10FF" w:rsidRPr="00F53BA4" w:rsidRDefault="000C10FF" w:rsidP="00C157E8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  <w:r w:rsid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П</w:t>
            </w:r>
            <w:r w:rsidR="00C157E8" w:rsidRP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роект муниципального нормативного правового акта содержит положения,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</w:t>
            </w:r>
            <w:r w:rsidR="00C157E8" w:rsidRP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lastRenderedPageBreak/>
              <w:t>деятельности, обязанности для субъектов инвестиционной деятельности</w:t>
            </w:r>
            <w:r w:rsid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F53BA4" w:rsidTr="00CA1016">
        <w:tc>
          <w:tcPr>
            <w:tcW w:w="4815" w:type="dxa"/>
            <w:gridSpan w:val="2"/>
          </w:tcPr>
          <w:p w:rsidR="000C10FF" w:rsidRPr="00F53BA4" w:rsidRDefault="000C10FF" w:rsidP="00902B8F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2.3.Содержание проекта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муниципального </w:t>
            </w: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нормативного правового акта:</w:t>
            </w:r>
          </w:p>
        </w:tc>
        <w:tc>
          <w:tcPr>
            <w:tcW w:w="4530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2.4.Оценка наличия в проекте акта положений, регулирующих отношения в указанной области (сфере)</w:t>
            </w:r>
          </w:p>
        </w:tc>
      </w:tr>
      <w:tr w:rsidR="000C10FF" w:rsidRPr="00F53BA4" w:rsidTr="00CA1016">
        <w:tc>
          <w:tcPr>
            <w:tcW w:w="846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2.3.1</w:t>
            </w:r>
          </w:p>
        </w:tc>
        <w:tc>
          <w:tcPr>
            <w:tcW w:w="3969" w:type="dxa"/>
          </w:tcPr>
          <w:p w:rsidR="000C10FF" w:rsidRPr="006C7AAD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sz w:val="28"/>
                <w:szCs w:val="28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530" w:type="dxa"/>
          </w:tcPr>
          <w:p w:rsidR="000C10FF" w:rsidRPr="006C7AAD" w:rsidRDefault="000C10FF" w:rsidP="00346C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i/>
                <w:sz w:val="28"/>
                <w:szCs w:val="28"/>
              </w:rPr>
              <w:t>да</w:t>
            </w:r>
          </w:p>
        </w:tc>
      </w:tr>
      <w:tr w:rsidR="000C10FF" w:rsidRPr="00F53BA4" w:rsidTr="00CA1016">
        <w:tc>
          <w:tcPr>
            <w:tcW w:w="846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2.3.2.</w:t>
            </w:r>
          </w:p>
        </w:tc>
        <w:tc>
          <w:tcPr>
            <w:tcW w:w="3969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F53BA4">
              <w:rPr>
                <w:rFonts w:ascii="Times New Roman" w:hAnsi="Times New Roman"/>
                <w:sz w:val="28"/>
                <w:szCs w:val="28"/>
              </w:rPr>
              <w:t>содержит положения, устанавливающие (изменяющие) обязанности и запреты для субъектов предпринимательской и инвестиционной деятельности</w:t>
            </w:r>
          </w:p>
        </w:tc>
        <w:tc>
          <w:tcPr>
            <w:tcW w:w="4530" w:type="dxa"/>
          </w:tcPr>
          <w:p w:rsidR="000C10FF" w:rsidRPr="00F53BA4" w:rsidRDefault="000C10FF" w:rsidP="00346C7F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53BA4">
              <w:rPr>
                <w:rFonts w:ascii="Times New Roman" w:hAnsi="Times New Roman"/>
                <w:i/>
                <w:sz w:val="28"/>
                <w:szCs w:val="28"/>
              </w:rPr>
              <w:t>нет</w:t>
            </w:r>
          </w:p>
        </w:tc>
      </w:tr>
      <w:tr w:rsidR="000C10FF" w:rsidRPr="00F53BA4" w:rsidTr="00CA1016">
        <w:tc>
          <w:tcPr>
            <w:tcW w:w="846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2.3.3.</w:t>
            </w:r>
          </w:p>
        </w:tc>
        <w:tc>
          <w:tcPr>
            <w:tcW w:w="3969" w:type="dxa"/>
          </w:tcPr>
          <w:p w:rsidR="000C10FF" w:rsidRPr="00862A42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862A42">
              <w:rPr>
                <w:rFonts w:ascii="Times New Roman" w:hAnsi="Times New Roman"/>
                <w:sz w:val="28"/>
                <w:szCs w:val="28"/>
              </w:rPr>
              <w:t xml:space="preserve">содержит положения, предусмотренные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>пунктами 2.3.1-2.3.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 xml:space="preserve"> сводного отчета и разработан в соответствии с рекомендациями уполномоченного органа, указанными в заключении об экспертизе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 xml:space="preserve">нормативного правового акта, либо в заключениях, подготавливаемых согласно Порядку установления и оценки применения обязательных требований,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содержащихся в муниципальных нормативных правовых актах </w:t>
            </w:r>
          </w:p>
        </w:tc>
        <w:tc>
          <w:tcPr>
            <w:tcW w:w="4530" w:type="dxa"/>
          </w:tcPr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62A42">
              <w:rPr>
                <w:rFonts w:ascii="Times New Roman" w:hAnsi="Times New Roman"/>
                <w:i/>
                <w:sz w:val="28"/>
                <w:szCs w:val="28"/>
              </w:rPr>
              <w:t>нет</w:t>
            </w:r>
          </w:p>
          <w:p w:rsidR="000C10FF" w:rsidRPr="008129C3" w:rsidRDefault="000C10FF" w:rsidP="002C45FF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0C10FF" w:rsidRPr="00F53BA4" w:rsidTr="00CA1016">
        <w:tc>
          <w:tcPr>
            <w:tcW w:w="846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2.3.4.</w:t>
            </w:r>
          </w:p>
        </w:tc>
        <w:tc>
          <w:tcPr>
            <w:tcW w:w="3969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color w:val="000000"/>
                <w:sz w:val="28"/>
                <w:szCs w:val="28"/>
              </w:rPr>
              <w:t>содержит положения, предусмотренные подпунктами 2.3.1-2.3.2 сводного отчета и разработан в соответствии с  нормативными правовыми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актами Российской Федерации, Ханты-Мансийского автономного округа-Югры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муниципального образования город Нефтеюганск,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затрагивающими вопросы осуществления предпринимательской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30" w:type="dxa"/>
          </w:tcPr>
          <w:p w:rsidR="000C10FF" w:rsidRPr="008129C3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lastRenderedPageBreak/>
              <w:t>да</w:t>
            </w:r>
          </w:p>
          <w:p w:rsidR="000C10FF" w:rsidRPr="00F53BA4" w:rsidRDefault="009C4BBE" w:rsidP="003F5EC0">
            <w:pPr>
              <w:spacing w:after="0" w:line="0" w:lineRule="atLeast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C4B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пункты </w:t>
            </w:r>
            <w:r w:rsidR="00FE5FA0">
              <w:rPr>
                <w:rFonts w:ascii="Times New Roman" w:hAnsi="Times New Roman"/>
                <w:sz w:val="28"/>
                <w:szCs w:val="28"/>
                <w:lang w:eastAsia="ru-RU"/>
              </w:rPr>
              <w:t>1.3.6 - 1.3.9</w:t>
            </w:r>
            <w:r w:rsidRPr="009C4BBE">
              <w:rPr>
                <w:rFonts w:ascii="Times New Roman" w:hAnsi="Times New Roman"/>
                <w:sz w:val="28"/>
                <w:szCs w:val="28"/>
                <w:lang w:eastAsia="ru-RU"/>
              </w:rPr>
              <w:t>, 1.3.1</w:t>
            </w:r>
            <w:r w:rsidR="00FE5F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2, 1.3.13, 1.3.15, 1.3.16 </w:t>
            </w:r>
            <w:r w:rsidRPr="009C4BBE">
              <w:rPr>
                <w:rFonts w:ascii="Times New Roman" w:hAnsi="Times New Roman"/>
                <w:sz w:val="28"/>
                <w:szCs w:val="28"/>
                <w:lang w:eastAsia="ru-RU"/>
              </w:rPr>
              <w:t>проекта постановления администрации города Нефтеюганска «</w:t>
            </w:r>
            <w:r w:rsidR="003F5EC0" w:rsidRPr="003F5E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внесении изменений в постановление администрации города Нефтеюганска от 14.05.2018 № 65-нп «Об утверждении порядка </w:t>
            </w:r>
            <w:r w:rsidR="003F5EC0" w:rsidRPr="003F5EC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</w:t>
            </w:r>
            <w:r w:rsidR="003F5EC0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0C10FF" w:rsidRPr="00F53BA4" w:rsidTr="00CA1016">
        <w:tc>
          <w:tcPr>
            <w:tcW w:w="846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2.3.5.</w:t>
            </w:r>
          </w:p>
        </w:tc>
        <w:tc>
          <w:tcPr>
            <w:tcW w:w="3969" w:type="dxa"/>
          </w:tcPr>
          <w:p w:rsidR="000C10FF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содержит положения, предусмотренные пунктами 2.3.1-2.3.2 сводного отчета и разработан </w:t>
            </w:r>
          </w:p>
          <w:p w:rsidR="000C10FF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</w:t>
            </w:r>
          </w:p>
          <w:p w:rsidR="000C10FF" w:rsidRPr="006C7AAD" w:rsidRDefault="000C10FF" w:rsidP="001B7661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(указываются иные предусмотренные Порядком критерии отнесения проекта муниципального нормативного правового акта к низкой степени регулирующего воздействия)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30" w:type="dxa"/>
          </w:tcPr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нет</w:t>
            </w:r>
          </w:p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  <w:p w:rsidR="000C10FF" w:rsidRPr="008129C3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</w:tr>
    </w:tbl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3.Описание проблемы, на решение которой направлен предлагаемый способ регулирования, оценка негативных эффектов, возникающих 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в связи с наличием рассматриваемой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3.1.</w:t>
            </w:r>
          </w:p>
        </w:tc>
        <w:tc>
          <w:tcPr>
            <w:tcW w:w="4590" w:type="pct"/>
            <w:shd w:val="clear" w:color="auto" w:fill="auto"/>
          </w:tcPr>
          <w:p w:rsidR="00F87788" w:rsidRDefault="000C10FF" w:rsidP="005453F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</w:p>
          <w:p w:rsidR="000B2227" w:rsidRPr="000B2227" w:rsidRDefault="000B2227" w:rsidP="000B222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t>-</w:t>
            </w:r>
            <w:r w:rsidRPr="000B2227"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t>возмещение недополученных доходов юридическим лицам (за исключением государственных (муниципальных) учреждений),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 по следующим категориям граждан:</w:t>
            </w:r>
          </w:p>
          <w:p w:rsidR="000B2227" w:rsidRPr="000B2227" w:rsidRDefault="000B2227" w:rsidP="000B222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0B2227"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t>-пенсионеры;</w:t>
            </w:r>
          </w:p>
          <w:p w:rsidR="000B2227" w:rsidRPr="000B2227" w:rsidRDefault="000B2227" w:rsidP="000B222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0B2227"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t>-почётные граждане города Нефтеюганска;</w:t>
            </w:r>
          </w:p>
          <w:p w:rsidR="000B2227" w:rsidRPr="000B2227" w:rsidRDefault="000B2227" w:rsidP="000B222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0B2227"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t>-инвалиды I и II групп;</w:t>
            </w:r>
          </w:p>
          <w:p w:rsidR="000B2227" w:rsidRPr="000B2227" w:rsidRDefault="000B2227" w:rsidP="000B222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0B2227"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t>-дети в возрасте до 7 лет, дети из многодетных семей в возрасте до 18 лет;</w:t>
            </w:r>
          </w:p>
          <w:p w:rsidR="000B2227" w:rsidRDefault="000B2227" w:rsidP="000B2227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0B2227"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lastRenderedPageBreak/>
              <w:t>-многодетные родители.</w:t>
            </w:r>
          </w:p>
          <w:p w:rsidR="000C10FF" w:rsidRPr="007B5AF9" w:rsidRDefault="000B2227" w:rsidP="000B2227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0B2227"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t>Реализация данной цели способствует обеспечению экономической и социальной стабильности в городе Нефтеюганске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7F2CC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Негативные эффекты, возникающие в связи с наличием </w:t>
            </w:r>
            <w:proofErr w:type="gramStart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проблемы:</w:t>
            </w:r>
            <w:r w:rsidR="005453F7" w:rsidRPr="005453F7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</w:t>
            </w:r>
            <w:r w:rsidR="0050271F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 </w:t>
            </w:r>
            <w:proofErr w:type="gramEnd"/>
            <w:r w:rsidR="0050271F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  <w:r w:rsidR="007F2CC6" w:rsidRPr="007F2CC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Неисполнение мероприятий муниципальной программы </w:t>
            </w:r>
            <w:r w:rsidR="007F2CC6" w:rsidRPr="007F2CC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города Нефтеюганска «</w:t>
            </w:r>
            <w:r w:rsidR="007F2CC6" w:rsidRPr="007F2CC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Развитие</w:t>
            </w:r>
            <w:r w:rsidR="007F2CC6" w:rsidRPr="007F2CC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F2CC6" w:rsidRPr="007F2CC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жилищно</w:t>
            </w:r>
            <w:r w:rsidR="007F2CC6" w:rsidRPr="007F2CC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-</w:t>
            </w:r>
            <w:r w:rsidR="007F2CC6" w:rsidRPr="007F2CC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коммунального</w:t>
            </w:r>
            <w:r w:rsidR="007F2CC6" w:rsidRPr="007F2CC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F2CC6" w:rsidRPr="007F2CC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комплекса</w:t>
            </w:r>
            <w:r w:rsidR="007F2CC6" w:rsidRPr="007F2CC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F2CC6" w:rsidRPr="007F2CC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и</w:t>
            </w:r>
            <w:r w:rsidR="007F2CC6" w:rsidRPr="007F2CC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F2CC6" w:rsidRPr="007F2CC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повышение</w:t>
            </w:r>
            <w:r w:rsidR="007F2CC6" w:rsidRPr="007F2CC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F2CC6" w:rsidRPr="007F2CC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энергетической</w:t>
            </w:r>
            <w:r w:rsidR="007F2CC6" w:rsidRPr="007F2CC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F2CC6" w:rsidRPr="007F2CC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эффективности</w:t>
            </w:r>
            <w:r w:rsidR="007F2CC6" w:rsidRPr="007F2CC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F2CC6" w:rsidRPr="007F2CC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в</w:t>
            </w:r>
            <w:r w:rsidR="007F2CC6" w:rsidRPr="007F2CC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F2CC6" w:rsidRPr="007F2CC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городе</w:t>
            </w:r>
            <w:r w:rsidR="007F2CC6" w:rsidRPr="007F2CC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F2CC6" w:rsidRPr="007F2CC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Нефтеюганске»</w:t>
            </w:r>
            <w:r w:rsidR="007F2CC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rPr>
          <w:trHeight w:val="1759"/>
        </w:trPr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3.3.</w:t>
            </w:r>
          </w:p>
        </w:tc>
        <w:tc>
          <w:tcPr>
            <w:tcW w:w="4590" w:type="pct"/>
            <w:shd w:val="clear" w:color="auto" w:fill="auto"/>
          </w:tcPr>
          <w:p w:rsidR="002C30B9" w:rsidRDefault="000C10FF" w:rsidP="002C30B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2C30B9" w:rsidRPr="007B5AF9" w:rsidRDefault="00E50565" w:rsidP="002C30B9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50565">
              <w:rPr>
                <w:rFonts w:ascii="Times New Roman" w:hAnsi="Times New Roman"/>
                <w:sz w:val="28"/>
                <w:szCs w:val="28"/>
                <w:lang w:eastAsia="ru-RU"/>
              </w:rPr>
              <w:t>В целях поддержки и защиты малообеспеченных категорий граждан было принято р</w:t>
            </w:r>
            <w:r w:rsidRPr="00E50565"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t>ешение Думы города Нефтеюганска от 25.04.2012                 № 276-V «О дополнительных мерах социальной поддержки для отдельных категорий граждан в городе Нефтеюганске».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3.4.</w:t>
            </w:r>
          </w:p>
        </w:tc>
        <w:tc>
          <w:tcPr>
            <w:tcW w:w="4590" w:type="pct"/>
            <w:shd w:val="clear" w:color="auto" w:fill="auto"/>
          </w:tcPr>
          <w:p w:rsidR="001C7496" w:rsidRDefault="000C10FF" w:rsidP="001C7496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50271F" w:rsidRPr="007B5AF9" w:rsidRDefault="00110ACE" w:rsidP="00110ACE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110AC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Распоряжение имуществом, находящимся в </w:t>
            </w:r>
            <w:proofErr w:type="gramStart"/>
            <w:r w:rsidRPr="00110AC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собственности</w:t>
            </w:r>
            <w:proofErr w:type="gramEnd"/>
            <w:r w:rsidRPr="00110AC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находится в рамках компетенции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города Нефтеюганска. </w:t>
            </w:r>
            <w:r w:rsidR="00526463" w:rsidRPr="00526463">
              <w:rPr>
                <w:rFonts w:ascii="Times New Roman" w:hAnsi="Times New Roman"/>
                <w:sz w:val="28"/>
                <w:szCs w:val="28"/>
                <w:lang w:eastAsia="ru-RU"/>
              </w:rPr>
              <w:t>Разработка данного проекта муниципального нормативного правового акта является необходимым условием внедрения правового регулирования, без поддержки со стороны администрации муниципального образования город Нефтеюганск решить данную проблему не представляется возможным.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3.5.</w:t>
            </w:r>
          </w:p>
        </w:tc>
        <w:tc>
          <w:tcPr>
            <w:tcW w:w="4590" w:type="pct"/>
            <w:shd w:val="clear" w:color="auto" w:fill="auto"/>
          </w:tcPr>
          <w:p w:rsidR="001C75AE" w:rsidRDefault="000C10FF" w:rsidP="002E6D7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0C10FF" w:rsidRDefault="001C75AE" w:rsidP="002E6D7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50271F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>решени</w:t>
            </w:r>
            <w:r w:rsidR="002E6D75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="0050271F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Думы города Нефтеюганска </w:t>
            </w:r>
            <w:r w:rsidR="009A540F" w:rsidRPr="008C1996">
              <w:rPr>
                <w:rFonts w:ascii="Times New Roman" w:eastAsia="Calibri" w:hAnsi="Times New Roman"/>
                <w:sz w:val="28"/>
                <w:szCs w:val="28"/>
              </w:rPr>
              <w:t>от 23.12.2024 № 700-VII «О бюджете города Нефтеюганска на 2025 год и плановый период 2026 и 2027 годов</w:t>
            </w:r>
            <w:r w:rsidR="009A540F" w:rsidRPr="009A540F">
              <w:rPr>
                <w:rFonts w:ascii="Times New Roman" w:eastAsia="Calibri" w:hAnsi="Times New Roman"/>
                <w:sz w:val="28"/>
                <w:szCs w:val="28"/>
              </w:rPr>
              <w:t>»</w:t>
            </w:r>
            <w:r w:rsidR="002E6D75" w:rsidRPr="009A540F">
              <w:rPr>
                <w:rFonts w:ascii="Times New Roman" w:hAnsi="Times New Roman"/>
                <w:sz w:val="28"/>
                <w:szCs w:val="28"/>
                <w:lang w:eastAsia="ru-RU"/>
              </w:rPr>
              <w:t>, от</w:t>
            </w:r>
            <w:r w:rsidR="002E6D75" w:rsidRPr="002E6D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25.04.2012 № 276-V «О дополнительных мерах социальной поддержки для отдельных категорий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раждан в городе Нефтеюганске»;</w:t>
            </w:r>
          </w:p>
          <w:p w:rsidR="001C75AE" w:rsidRPr="007B5AF9" w:rsidRDefault="001C75AE" w:rsidP="001C75AE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1C75AE">
              <w:rPr>
                <w:rFonts w:ascii="Times New Roman" w:hAnsi="Times New Roman"/>
                <w:sz w:val="28"/>
                <w:szCs w:val="28"/>
                <w:lang w:eastAsia="ru-RU"/>
              </w:rPr>
              <w:t>ст. 17 Федерального закона от 06.10.2003 N 131-ФЗ (ред. от 25.12.2023) «Об общих принципах организации местного самоуправления в Российской Федерации».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3.6.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A4025F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проблеме</w:t>
            </w:r>
            <w:r w:rsidRPr="00A4025F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A4025F" w:rsidRPr="00A4025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0271F" w:rsidRPr="00A4025F">
              <w:rPr>
                <w:rFonts w:ascii="Times New Roman" w:eastAsia="Calibri" w:hAnsi="Times New Roman"/>
                <w:sz w:val="28"/>
                <w:szCs w:val="28"/>
              </w:rPr>
              <w:t>отсутствует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4.Опыт решения аналогичных проблем в других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муниципальных образованиях Ханты-Мансийского автономного округа-Югры, в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субъектах 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Российской Федерации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2B0E3A" w:rsidRDefault="000C10FF" w:rsidP="002B0E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Опыт решения аналогичных проблем в </w:t>
            </w:r>
            <w:r w:rsidRPr="008129C3">
              <w:rPr>
                <w:rFonts w:ascii="Times New Roman" w:hAnsi="Times New Roman"/>
                <w:sz w:val="28"/>
                <w:szCs w:val="28"/>
                <w:lang w:eastAsia="ru-RU"/>
              </w:rPr>
              <w:t>других муниципальных образованиях Ханты-Мансийского автономного округа-Югры, в субъектах Российской Федерации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0C10FF" w:rsidRPr="007B5AF9" w:rsidRDefault="00716EC0" w:rsidP="005F3BAC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16EC0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AB77C6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Pr="00716E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остановление администрации Ханты-Мансийского района </w:t>
            </w:r>
            <w:r w:rsidR="005F3B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от 12.04.</w:t>
            </w:r>
            <w:r w:rsidR="005F3BAC" w:rsidRPr="005F3B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2021 г. </w:t>
            </w:r>
            <w:r w:rsidR="005F3BAC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="005F3BAC" w:rsidRPr="005F3B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87 </w:t>
            </w:r>
            <w:r w:rsidRPr="00716EC0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5F3BAC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5F3BAC" w:rsidRPr="005F3BAC">
              <w:rPr>
                <w:rFonts w:ascii="Times New Roman" w:hAnsi="Times New Roman"/>
                <w:sz w:val="28"/>
                <w:szCs w:val="28"/>
                <w:lang w:eastAsia="ru-RU"/>
              </w:rPr>
              <w:t>б утверждении порядков предоставления субсидии</w:t>
            </w:r>
            <w:r w:rsidR="005F3B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F3BAC" w:rsidRPr="005F3BAC">
              <w:rPr>
                <w:rFonts w:ascii="Times New Roman" w:hAnsi="Times New Roman"/>
                <w:sz w:val="28"/>
                <w:szCs w:val="28"/>
                <w:lang w:eastAsia="ru-RU"/>
              </w:rPr>
              <w:t>на возмещение затрат и (или) недополученных доходов</w:t>
            </w:r>
            <w:r w:rsidR="005F3B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F3BAC" w:rsidRPr="005F3BA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производителям отдельных товаров, услуг в </w:t>
            </w:r>
            <w:r w:rsidR="005F3BAC">
              <w:rPr>
                <w:rFonts w:ascii="Times New Roman" w:hAnsi="Times New Roman"/>
                <w:sz w:val="28"/>
                <w:szCs w:val="28"/>
                <w:lang w:eastAsia="ru-RU"/>
              </w:rPr>
              <w:t>Ханты-М</w:t>
            </w:r>
            <w:r w:rsidR="005F3BAC" w:rsidRPr="005F3BAC">
              <w:rPr>
                <w:rFonts w:ascii="Times New Roman" w:hAnsi="Times New Roman"/>
                <w:sz w:val="28"/>
                <w:szCs w:val="28"/>
                <w:lang w:eastAsia="ru-RU"/>
              </w:rPr>
              <w:t>ансийском</w:t>
            </w:r>
            <w:r w:rsidR="005F3B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F3BAC" w:rsidRPr="005F3BAC">
              <w:rPr>
                <w:rFonts w:ascii="Times New Roman" w:hAnsi="Times New Roman"/>
                <w:sz w:val="28"/>
                <w:szCs w:val="28"/>
                <w:lang w:eastAsia="ru-RU"/>
              </w:rPr>
              <w:t>районе</w:t>
            </w:r>
            <w:r w:rsidRPr="00716EC0">
              <w:rPr>
                <w:rFonts w:ascii="Times New Roman" w:hAnsi="Times New Roman"/>
                <w:sz w:val="28"/>
                <w:szCs w:val="28"/>
                <w:lang w:eastAsia="ru-RU"/>
              </w:rPr>
              <w:t>».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2B0E3A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2B0E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B0E3A" w:rsidRPr="00544118">
              <w:rPr>
                <w:rFonts w:ascii="Times New Roman" w:hAnsi="Times New Roman"/>
                <w:sz w:val="28"/>
                <w:szCs w:val="28"/>
                <w:lang w:eastAsia="ru-RU"/>
              </w:rPr>
              <w:t>сеть «Интернет»</w:t>
            </w:r>
          </w:p>
        </w:tc>
      </w:tr>
    </w:tbl>
    <w:p w:rsidR="006369D1" w:rsidRDefault="006369D1" w:rsidP="000C10F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5.Цели предлагаемого регулирования и их соответствие принципам правового регулирования, программным документам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C44624">
        <w:rPr>
          <w:rFonts w:ascii="Times New Roman" w:hAnsi="Times New Roman"/>
          <w:sz w:val="28"/>
          <w:szCs w:val="28"/>
          <w:lang w:eastAsia="ru-RU"/>
        </w:rPr>
        <w:t>муниципального образования город Нефтеюганск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4462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Ханты</w:t>
      </w:r>
      <w:r w:rsidRPr="007B5AF9">
        <w:rPr>
          <w:rFonts w:ascii="Times New Roman" w:hAnsi="Times New Roman"/>
          <w:sz w:val="28"/>
          <w:szCs w:val="28"/>
          <w:lang w:eastAsia="ru-RU"/>
        </w:rPr>
        <w:t>-Мансийского автономного округа – Югры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3627"/>
        <w:gridCol w:w="752"/>
        <w:gridCol w:w="4115"/>
      </w:tblGrid>
      <w:tr w:rsidR="000C10FF" w:rsidRPr="007B5AF9" w:rsidTr="004B420F">
        <w:trPr>
          <w:trHeight w:val="989"/>
        </w:trPr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1962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22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роки достижения целей предлагаемого регулирования:</w:t>
            </w:r>
          </w:p>
        </w:tc>
      </w:tr>
      <w:tr w:rsidR="000C10FF" w:rsidRPr="007B5AF9" w:rsidTr="00E32672">
        <w:trPr>
          <w:trHeight w:val="367"/>
        </w:trPr>
        <w:tc>
          <w:tcPr>
            <w:tcW w:w="2366" w:type="pct"/>
            <w:gridSpan w:val="2"/>
            <w:shd w:val="clear" w:color="auto" w:fill="auto"/>
          </w:tcPr>
          <w:p w:rsidR="00D67CCD" w:rsidRPr="00D67CCD" w:rsidRDefault="000C10FF" w:rsidP="00D67CCD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(</w:t>
            </w:r>
            <w:r w:rsidRPr="00D67CCD">
              <w:rPr>
                <w:rFonts w:ascii="Times New Roman" w:eastAsia="Calibri" w:hAnsi="Times New Roman"/>
                <w:sz w:val="28"/>
                <w:szCs w:val="28"/>
              </w:rPr>
              <w:t>Цель 1)</w:t>
            </w:r>
            <w:r w:rsidR="00AA4C23" w:rsidRPr="00D67CCD">
              <w:rPr>
                <w:rFonts w:ascii="Times New Roman" w:eastAsia="Calibri" w:hAnsi="Times New Roman"/>
                <w:sz w:val="28"/>
                <w:szCs w:val="28"/>
              </w:rPr>
              <w:t xml:space="preserve"> Предоставление субсидии из бюджета города Нефтеюганска на </w:t>
            </w:r>
            <w:r w:rsidR="00D67CCD" w:rsidRPr="00D67CCD">
              <w:rPr>
                <w:rFonts w:ascii="Times New Roman" w:eastAsia="Calibri" w:hAnsi="Times New Roman"/>
                <w:sz w:val="28"/>
                <w:szCs w:val="28"/>
              </w:rPr>
              <w:t>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издержек, по следующим категориям граждан:</w:t>
            </w:r>
          </w:p>
          <w:p w:rsidR="00D67CCD" w:rsidRPr="00D67CCD" w:rsidRDefault="00D67CCD" w:rsidP="00D67CCD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67CCD">
              <w:rPr>
                <w:rFonts w:ascii="Times New Roman" w:eastAsia="Calibri" w:hAnsi="Times New Roman"/>
                <w:sz w:val="28"/>
                <w:szCs w:val="28"/>
              </w:rPr>
              <w:t>-пенсионеры;</w:t>
            </w:r>
          </w:p>
          <w:p w:rsidR="00D67CCD" w:rsidRPr="00D67CCD" w:rsidRDefault="00D67CCD" w:rsidP="00D67CCD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67CCD">
              <w:rPr>
                <w:rFonts w:ascii="Times New Roman" w:eastAsia="Calibri" w:hAnsi="Times New Roman"/>
                <w:sz w:val="28"/>
                <w:szCs w:val="28"/>
              </w:rPr>
              <w:t>-почетные граждане города Нефтеюганска;</w:t>
            </w:r>
          </w:p>
          <w:p w:rsidR="00D67CCD" w:rsidRPr="00D67CCD" w:rsidRDefault="00D67CCD" w:rsidP="00D67CCD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67CCD">
              <w:rPr>
                <w:rFonts w:ascii="Times New Roman" w:eastAsia="Calibri" w:hAnsi="Times New Roman"/>
                <w:sz w:val="28"/>
                <w:szCs w:val="28"/>
              </w:rPr>
              <w:t>-инвалиды I и II групп;</w:t>
            </w:r>
          </w:p>
          <w:p w:rsidR="00D67CCD" w:rsidRPr="00D67CCD" w:rsidRDefault="00D67CCD" w:rsidP="00D67CCD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67CCD">
              <w:rPr>
                <w:rFonts w:ascii="Times New Roman" w:eastAsia="Calibri" w:hAnsi="Times New Roman"/>
                <w:sz w:val="28"/>
                <w:szCs w:val="28"/>
              </w:rPr>
              <w:t>-дети в возрасте до 7 лет, дети из многодетных семей в возрасте до 18 лет;</w:t>
            </w:r>
          </w:p>
          <w:p w:rsidR="000C10FF" w:rsidRPr="007B5AF9" w:rsidRDefault="00D67CCD" w:rsidP="00AE3C79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67CCD">
              <w:rPr>
                <w:rFonts w:ascii="Times New Roman" w:eastAsia="Calibri" w:hAnsi="Times New Roman"/>
                <w:sz w:val="28"/>
                <w:szCs w:val="28"/>
              </w:rPr>
              <w:t>-многодетные родители</w:t>
            </w:r>
            <w:r w:rsidR="00AA4C23" w:rsidRPr="00D67CCD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0C10FF" w:rsidRPr="007B5AF9" w:rsidRDefault="00042390" w:rsidP="00667105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</w:t>
            </w:r>
            <w:r w:rsidR="00AA4C23" w:rsidRPr="00544118">
              <w:rPr>
                <w:rFonts w:ascii="Times New Roman" w:eastAsia="Calibri" w:hAnsi="Times New Roman"/>
                <w:sz w:val="28"/>
                <w:szCs w:val="28"/>
              </w:rPr>
              <w:t xml:space="preserve"> 0</w:t>
            </w:r>
            <w:r w:rsidR="00AA4C23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="00AA4C23" w:rsidRPr="00544118">
              <w:rPr>
                <w:rFonts w:ascii="Times New Roman" w:eastAsia="Calibri" w:hAnsi="Times New Roman"/>
                <w:sz w:val="28"/>
                <w:szCs w:val="28"/>
              </w:rPr>
              <w:t>.0</w:t>
            </w:r>
            <w:r w:rsidR="00AA4C23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="00AA4C23" w:rsidRPr="00544118">
              <w:rPr>
                <w:rFonts w:ascii="Times New Roman" w:eastAsia="Calibri" w:hAnsi="Times New Roman"/>
                <w:sz w:val="28"/>
                <w:szCs w:val="28"/>
              </w:rPr>
              <w:t>.202</w:t>
            </w:r>
            <w:r w:rsidR="00667105"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="00AA4C23" w:rsidRPr="00544118">
              <w:rPr>
                <w:rFonts w:ascii="Times New Roman" w:eastAsia="Calibri" w:hAnsi="Times New Roman"/>
                <w:sz w:val="28"/>
                <w:szCs w:val="28"/>
              </w:rPr>
              <w:t xml:space="preserve"> года</w:t>
            </w:r>
            <w:r w:rsidR="00DC6244">
              <w:rPr>
                <w:rFonts w:ascii="Times New Roman" w:eastAsia="Calibri" w:hAnsi="Times New Roman"/>
                <w:sz w:val="28"/>
                <w:szCs w:val="28"/>
              </w:rPr>
              <w:t xml:space="preserve"> по 31.</w:t>
            </w:r>
            <w:r w:rsidR="00A36564">
              <w:rPr>
                <w:rFonts w:ascii="Times New Roman" w:eastAsia="Calibri" w:hAnsi="Times New Roman"/>
                <w:sz w:val="28"/>
                <w:szCs w:val="28"/>
              </w:rPr>
              <w:t>12</w:t>
            </w:r>
            <w:r w:rsidR="00DC6244">
              <w:rPr>
                <w:rFonts w:ascii="Times New Roman" w:eastAsia="Calibri" w:hAnsi="Times New Roman"/>
                <w:sz w:val="28"/>
                <w:szCs w:val="28"/>
              </w:rPr>
              <w:t>.202</w:t>
            </w:r>
            <w:r w:rsidR="00667105"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="00DC6244">
              <w:rPr>
                <w:rFonts w:ascii="Times New Roman" w:eastAsia="Calibri" w:hAnsi="Times New Roman"/>
                <w:sz w:val="28"/>
                <w:szCs w:val="28"/>
              </w:rPr>
              <w:t xml:space="preserve">, а </w:t>
            </w:r>
            <w:r w:rsidR="00A36564">
              <w:rPr>
                <w:rFonts w:ascii="Times New Roman" w:eastAsia="Calibri" w:hAnsi="Times New Roman"/>
                <w:sz w:val="28"/>
                <w:szCs w:val="28"/>
              </w:rPr>
              <w:t xml:space="preserve">в </w:t>
            </w:r>
            <w:r w:rsidR="00DC6244">
              <w:rPr>
                <w:rFonts w:ascii="Times New Roman" w:eastAsia="Calibri" w:hAnsi="Times New Roman"/>
                <w:sz w:val="28"/>
                <w:szCs w:val="28"/>
              </w:rPr>
              <w:t>части платежей до полного их завершения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, но </w:t>
            </w:r>
            <w:r w:rsidR="00DC6244" w:rsidRPr="00DC6244">
              <w:rPr>
                <w:rFonts w:ascii="Times New Roman" w:eastAsia="Calibri" w:hAnsi="Times New Roman"/>
                <w:sz w:val="28"/>
                <w:szCs w:val="28"/>
              </w:rPr>
              <w:t>не позднее 1 мая очередного финансового года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</w:tr>
      <w:tr w:rsidR="000C10FF" w:rsidRPr="007B5AF9" w:rsidTr="004B420F"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  <w:shd w:val="clear" w:color="auto" w:fill="auto"/>
          </w:tcPr>
          <w:p w:rsidR="002E4635" w:rsidRDefault="000C10FF" w:rsidP="002E463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Обоснование соответствия целей предлагаемого регулирования принципам правового регулирования, </w:t>
            </w:r>
            <w:r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программным документам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муниципального образования город Нефтеюганск, </w:t>
            </w:r>
            <w:r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>Ханты-Мансийского автономного округа – Югры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0C10FF" w:rsidRPr="007B5AF9" w:rsidRDefault="002E4635" w:rsidP="002E4635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2E4635">
              <w:rPr>
                <w:rFonts w:ascii="Times New Roman" w:eastAsia="Calibri" w:hAnsi="Times New Roman"/>
                <w:sz w:val="28"/>
                <w:szCs w:val="28"/>
              </w:rPr>
              <w:t xml:space="preserve">цель проекта муниципального нормативного правового акта обеспечение реализации муниципальной программы утвержденной постановлением администрации города Нефтеюганска </w:t>
            </w:r>
            <w:r w:rsidRPr="002E4635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от 15.11.2018               № 605-п «Об утверждении муниципальной программы города </w:t>
            </w:r>
            <w:r w:rsidRPr="002E4635">
              <w:rPr>
                <w:rFonts w:ascii="Times New Roman" w:eastAsia="Calibri" w:hAnsi="Times New Roman"/>
                <w:bCs/>
                <w:sz w:val="28"/>
                <w:szCs w:val="28"/>
              </w:rPr>
              <w:lastRenderedPageBreak/>
              <w:t>Нефтеюганска «Развитие жилищно-коммунального комплекса и повышение энергетической эффективности в городе Нефтеюганске»</w:t>
            </w:r>
          </w:p>
        </w:tc>
      </w:tr>
      <w:tr w:rsidR="000C10FF" w:rsidRPr="007B5AF9" w:rsidTr="004B420F"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lastRenderedPageBreak/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  <w:shd w:val="clear" w:color="auto" w:fill="auto"/>
          </w:tcPr>
          <w:p w:rsidR="000C10FF" w:rsidRPr="007B5AF9" w:rsidRDefault="000C10FF" w:rsidP="002E4635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целях предлагаемого регулирования:</w:t>
            </w:r>
            <w:r w:rsidR="002E463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>тсутствует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6.Описание предлагаемого регулирования и иных возможных </w:t>
      </w:r>
    </w:p>
    <w:p w:rsidR="000C10FF" w:rsidRDefault="000C10FF" w:rsidP="000C10F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способов решения проблемы</w:t>
      </w:r>
    </w:p>
    <w:p w:rsidR="008F7D04" w:rsidRDefault="008F7D04" w:rsidP="000C10F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0C10FF" w:rsidRDefault="000C10FF" w:rsidP="003B541B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предлагаемого способа решения проблемы и преодоления связанных с ней негативных эффектов: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2E4635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 xml:space="preserve">анный проект муниципального нормативного правового акта определяет </w:t>
            </w:r>
            <w:r w:rsidR="008F7D04" w:rsidRPr="002E4635">
              <w:rPr>
                <w:rFonts w:ascii="Times New Roman" w:eastAsia="Calibri" w:hAnsi="Times New Roman"/>
                <w:sz w:val="28"/>
                <w:szCs w:val="28"/>
              </w:rPr>
              <w:t xml:space="preserve">порядок </w:t>
            </w:r>
            <w:r w:rsidR="008F7D04">
              <w:rPr>
                <w:rFonts w:ascii="Times New Roman" w:eastAsia="Calibri" w:hAnsi="Times New Roman"/>
                <w:sz w:val="28"/>
                <w:szCs w:val="28"/>
              </w:rPr>
              <w:t>возмещения</w:t>
            </w:r>
            <w:r w:rsidR="003B541B" w:rsidRPr="003B541B">
              <w:rPr>
                <w:rFonts w:ascii="Times New Roman" w:eastAsia="Calibri" w:hAnsi="Times New Roman"/>
                <w:sz w:val="28"/>
                <w:szCs w:val="28"/>
              </w:rPr>
              <w:t xml:space="preserve">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</w:t>
            </w:r>
            <w:r w:rsidR="008F7D04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  <w:p w:rsidR="008F7D04" w:rsidRPr="003523EF" w:rsidRDefault="008F7D04" w:rsidP="003B541B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F274EE">
              <w:rPr>
                <w:rFonts w:ascii="Times New Roman" w:eastAsia="Calibri" w:hAnsi="Times New Roman"/>
                <w:sz w:val="28"/>
                <w:szCs w:val="28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4590" w:type="pct"/>
            <w:shd w:val="clear" w:color="auto" w:fill="auto"/>
          </w:tcPr>
          <w:p w:rsidR="000C10FF" w:rsidRPr="003523EF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ные способы отсутствуют</w:t>
            </w:r>
            <w:r w:rsidR="001F568E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1F568E" w:rsidRPr="001F56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Распоряжение имуществом, находящимся в </w:t>
            </w:r>
            <w:proofErr w:type="gramStart"/>
            <w:r w:rsidR="001F568E" w:rsidRPr="001F568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собственности</w:t>
            </w:r>
            <w:proofErr w:type="gramEnd"/>
            <w:r w:rsidR="001F568E" w:rsidRPr="001F56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находится в рамках компетенции органов местного самоуправления</w:t>
            </w:r>
            <w:r w:rsidR="001F568E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1F568E">
              <w:rPr>
                <w:rFonts w:ascii="Times New Roman" w:eastAsia="Calibri" w:hAnsi="Times New Roman"/>
                <w:sz w:val="28"/>
                <w:szCs w:val="28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.3.</w:t>
            </w:r>
          </w:p>
        </w:tc>
        <w:tc>
          <w:tcPr>
            <w:tcW w:w="4590" w:type="pct"/>
            <w:shd w:val="clear" w:color="auto" w:fill="auto"/>
          </w:tcPr>
          <w:p w:rsidR="000C10FF" w:rsidRDefault="000C10FF" w:rsidP="0076610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Обоснование выбора предлагаемого способа решения проблемы: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оответствие региональному и федеральному законодательству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8F7D04" w:rsidRPr="003523EF" w:rsidRDefault="008F7D04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6D5252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1F568E">
              <w:rPr>
                <w:rFonts w:ascii="Times New Roman" w:eastAsia="Calibri" w:hAnsi="Times New Roman"/>
                <w:sz w:val="28"/>
                <w:szCs w:val="28"/>
              </w:rPr>
              <w:t>6</w:t>
            </w:r>
            <w:r w:rsidRPr="006D5252">
              <w:rPr>
                <w:rFonts w:ascii="Times New Roman" w:eastAsia="Calibri" w:hAnsi="Times New Roman"/>
                <w:sz w:val="28"/>
                <w:szCs w:val="28"/>
              </w:rPr>
              <w:t>.4.</w:t>
            </w:r>
          </w:p>
        </w:tc>
        <w:tc>
          <w:tcPr>
            <w:tcW w:w="4590" w:type="pct"/>
            <w:shd w:val="clear" w:color="auto" w:fill="auto"/>
          </w:tcPr>
          <w:p w:rsidR="000C10FF" w:rsidRPr="006D5252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D5252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предлагаемом способе решения проблемы: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7.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сновные группы субъектов предпринимательской и </w:t>
      </w:r>
      <w:r>
        <w:rPr>
          <w:rFonts w:ascii="Times New Roman" w:hAnsi="Times New Roman"/>
          <w:sz w:val="28"/>
          <w:szCs w:val="28"/>
          <w:lang w:eastAsia="ru-RU"/>
        </w:rPr>
        <w:t xml:space="preserve">иной экономической деятельности,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иные заинтересованные лица, включая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органы и </w:t>
      </w:r>
      <w:r w:rsidRPr="007B5AF9">
        <w:rPr>
          <w:rFonts w:ascii="Times New Roman" w:hAnsi="Times New Roman"/>
          <w:sz w:val="28"/>
          <w:szCs w:val="28"/>
          <w:lang w:eastAsia="ru-RU"/>
        </w:rPr>
        <w:t>структурные подразделения адм</w:t>
      </w:r>
      <w:r>
        <w:rPr>
          <w:rFonts w:ascii="Times New Roman" w:hAnsi="Times New Roman"/>
          <w:sz w:val="28"/>
          <w:szCs w:val="28"/>
          <w:lang w:eastAsia="ru-RU"/>
        </w:rPr>
        <w:t xml:space="preserve">инистрации города Нефтеюганска, </w:t>
      </w:r>
      <w:r w:rsidRPr="007B5AF9">
        <w:rPr>
          <w:rFonts w:ascii="Times New Roman" w:hAnsi="Times New Roman"/>
          <w:sz w:val="28"/>
          <w:szCs w:val="28"/>
          <w:lang w:eastAsia="ru-RU"/>
        </w:rPr>
        <w:t>интересы которых будут затронуты предлагаемым правовым регулированием, оценка количества таких субъектов</w:t>
      </w:r>
    </w:p>
    <w:p w:rsidR="000A6845" w:rsidRDefault="000A6845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4010"/>
        <w:gridCol w:w="636"/>
        <w:gridCol w:w="3772"/>
      </w:tblGrid>
      <w:tr w:rsidR="000C10FF" w:rsidRPr="007B5AF9" w:rsidTr="00A702BB">
        <w:trPr>
          <w:trHeight w:val="55"/>
        </w:trPr>
        <w:tc>
          <w:tcPr>
            <w:tcW w:w="44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2169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344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04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A702BB" w:rsidRPr="007B5AF9" w:rsidTr="00A702BB">
        <w:trPr>
          <w:trHeight w:val="1213"/>
        </w:trPr>
        <w:tc>
          <w:tcPr>
            <w:tcW w:w="2616" w:type="pct"/>
            <w:gridSpan w:val="2"/>
            <w:shd w:val="clear" w:color="auto" w:fill="auto"/>
          </w:tcPr>
          <w:p w:rsidR="00A702BB" w:rsidRPr="00544118" w:rsidRDefault="00A702BB" w:rsidP="00A702BB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</w:rPr>
              <w:t>Группа №1 Юридические лица, индивидуальные предприниматели</w:t>
            </w:r>
            <w:r w:rsidR="00716EC0">
              <w:rPr>
                <w:rFonts w:ascii="Times New Roman" w:eastAsia="Calibri" w:hAnsi="Times New Roman"/>
                <w:sz w:val="28"/>
                <w:szCs w:val="28"/>
              </w:rPr>
              <w:t>, физические лица</w:t>
            </w:r>
          </w:p>
        </w:tc>
        <w:tc>
          <w:tcPr>
            <w:tcW w:w="2384" w:type="pct"/>
            <w:gridSpan w:val="2"/>
            <w:shd w:val="clear" w:color="auto" w:fill="auto"/>
          </w:tcPr>
          <w:p w:rsidR="00A702BB" w:rsidRPr="007B5AF9" w:rsidRDefault="00A2134B" w:rsidP="00A702BB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14</w:t>
            </w:r>
          </w:p>
        </w:tc>
      </w:tr>
      <w:tr w:rsidR="009C6C80" w:rsidRPr="007B5AF9" w:rsidTr="00A702BB">
        <w:trPr>
          <w:trHeight w:val="52"/>
        </w:trPr>
        <w:tc>
          <w:tcPr>
            <w:tcW w:w="2616" w:type="pct"/>
            <w:gridSpan w:val="2"/>
            <w:shd w:val="clear" w:color="auto" w:fill="auto"/>
          </w:tcPr>
          <w:p w:rsidR="009C6C80" w:rsidRPr="00544118" w:rsidRDefault="009C6C8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</w:rPr>
              <w:t>Группа №2 Органы администрации города Нефтеюганска</w:t>
            </w:r>
          </w:p>
        </w:tc>
        <w:tc>
          <w:tcPr>
            <w:tcW w:w="2384" w:type="pct"/>
            <w:gridSpan w:val="2"/>
            <w:shd w:val="clear" w:color="auto" w:fill="auto"/>
          </w:tcPr>
          <w:p w:rsidR="009C6C80" w:rsidRPr="00544118" w:rsidRDefault="009770B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2- </w:t>
            </w:r>
            <w:r w:rsidR="009C6C80" w:rsidRPr="00544118">
              <w:rPr>
                <w:rFonts w:ascii="Times New Roman" w:eastAsia="Calibri" w:hAnsi="Times New Roman"/>
                <w:sz w:val="28"/>
                <w:szCs w:val="28"/>
              </w:rPr>
              <w:t>департамент жилищно-коммунального хозяйства, администрация города Нефтеюганска</w:t>
            </w:r>
          </w:p>
        </w:tc>
      </w:tr>
      <w:tr w:rsidR="009C6C80" w:rsidRPr="007B5AF9" w:rsidTr="00A702BB">
        <w:tc>
          <w:tcPr>
            <w:tcW w:w="447" w:type="pct"/>
            <w:shd w:val="clear" w:color="auto" w:fill="auto"/>
          </w:tcPr>
          <w:p w:rsidR="009C6C80" w:rsidRPr="007B5AF9" w:rsidRDefault="009C6C8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lastRenderedPageBreak/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53" w:type="pct"/>
            <w:gridSpan w:val="3"/>
            <w:shd w:val="clear" w:color="auto" w:fill="auto"/>
          </w:tcPr>
          <w:p w:rsidR="009C6C80" w:rsidRPr="007B5AF9" w:rsidRDefault="009C6C80" w:rsidP="00A2134B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6721F6" w:rsidRPr="006721F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721F6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6721F6" w:rsidRPr="006721F6">
              <w:rPr>
                <w:rFonts w:ascii="Times New Roman" w:hAnsi="Times New Roman"/>
                <w:sz w:val="28"/>
                <w:szCs w:val="28"/>
                <w:lang w:eastAsia="ru-RU"/>
              </w:rPr>
              <w:t>фициальный сайт администрации города Нефтеюганска</w:t>
            </w:r>
            <w:r w:rsidR="00A2134B">
              <w:rPr>
                <w:rFonts w:ascii="Times New Roman" w:eastAsia="Calibri" w:hAnsi="Times New Roman"/>
                <w:sz w:val="28"/>
                <w:szCs w:val="28"/>
              </w:rPr>
              <w:t>, о</w:t>
            </w:r>
            <w:r w:rsidR="00A2134B" w:rsidRPr="00A2134B">
              <w:rPr>
                <w:rFonts w:ascii="Times New Roman" w:eastAsia="Calibri" w:hAnsi="Times New Roman"/>
                <w:sz w:val="28"/>
                <w:szCs w:val="28"/>
              </w:rPr>
              <w:t>фициальный сайт ФНС РФ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.Новые функции, полномочия, обязанности и </w:t>
      </w:r>
      <w:r>
        <w:rPr>
          <w:rFonts w:ascii="Times New Roman" w:hAnsi="Times New Roman"/>
          <w:sz w:val="28"/>
          <w:szCs w:val="28"/>
          <w:lang w:eastAsia="ru-RU"/>
        </w:rPr>
        <w:t xml:space="preserve">права органа или структурного </w:t>
      </w:r>
      <w:r w:rsidRPr="00C44624">
        <w:rPr>
          <w:rFonts w:ascii="Times New Roman" w:hAnsi="Times New Roman"/>
          <w:sz w:val="28"/>
          <w:szCs w:val="28"/>
          <w:lang w:eastAsia="ru-RU"/>
        </w:rPr>
        <w:t>подразделения администрации города Нефтеюганска, или сведения об их изменении, а также порядок их реализации</w:t>
      </w:r>
    </w:p>
    <w:p w:rsidR="0064136C" w:rsidRDefault="0064136C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7"/>
        <w:gridCol w:w="2934"/>
        <w:gridCol w:w="2983"/>
      </w:tblGrid>
      <w:tr w:rsidR="000C10FF" w:rsidRPr="007B5AF9" w:rsidTr="00E32672">
        <w:tc>
          <w:tcPr>
            <w:tcW w:w="178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писание новых или изменения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существующих функций, полномочий, обязанностей или прав</w:t>
            </w:r>
          </w:p>
        </w:tc>
        <w:tc>
          <w:tcPr>
            <w:tcW w:w="1592" w:type="pct"/>
            <w:shd w:val="clear" w:color="auto" w:fill="auto"/>
          </w:tcPr>
          <w:p w:rsidR="000C10FF" w:rsidRPr="006D5252" w:rsidRDefault="000C10FF" w:rsidP="00E32672">
            <w:pPr>
              <w:tabs>
                <w:tab w:val="center" w:pos="1558"/>
                <w:tab w:val="left" w:pos="220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.2.Порядок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реализации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:rsidR="000C10FF" w:rsidRPr="007B5AF9" w:rsidRDefault="000C10FF" w:rsidP="00E32672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.3.Оценка изменения трудозатрат и (или) потребностей в иных ресурсах</w:t>
            </w:r>
          </w:p>
        </w:tc>
      </w:tr>
      <w:tr w:rsidR="000C10FF" w:rsidRPr="007B5AF9" w:rsidTr="00E32672">
        <w:tc>
          <w:tcPr>
            <w:tcW w:w="5000" w:type="pct"/>
            <w:gridSpan w:val="3"/>
            <w:shd w:val="clear" w:color="auto" w:fill="auto"/>
          </w:tcPr>
          <w:p w:rsidR="000C10FF" w:rsidRPr="007B5AF9" w:rsidRDefault="000C10FF" w:rsidP="004E13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  <w:r w:rsidR="004E1320" w:rsidRPr="004E132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Департамент ЖКХ администрации города Нефтеюганска</w:t>
            </w:r>
          </w:p>
        </w:tc>
      </w:tr>
      <w:tr w:rsidR="000C10FF" w:rsidRPr="007B5AF9" w:rsidTr="00E32672">
        <w:tc>
          <w:tcPr>
            <w:tcW w:w="1789" w:type="pct"/>
            <w:shd w:val="clear" w:color="auto" w:fill="auto"/>
          </w:tcPr>
          <w:p w:rsidR="000C10FF" w:rsidRPr="008C1AA9" w:rsidRDefault="008C1AA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Внесение изменений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НПА </w:t>
            </w: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>не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предусматривает изменений существующих функций</w:t>
            </w: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92" w:type="pct"/>
            <w:shd w:val="clear" w:color="auto" w:fill="auto"/>
          </w:tcPr>
          <w:p w:rsidR="000C10FF" w:rsidRPr="008C1AA9" w:rsidRDefault="008C1AA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требуется изменений в существующий порядок реализации</w:t>
            </w:r>
          </w:p>
        </w:tc>
        <w:tc>
          <w:tcPr>
            <w:tcW w:w="1619" w:type="pct"/>
            <w:shd w:val="clear" w:color="auto" w:fill="auto"/>
          </w:tcPr>
          <w:p w:rsidR="000C10FF" w:rsidRPr="007B5AF9" w:rsidRDefault="008C1AA9" w:rsidP="00E3267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 потребность в иных ресурсах</w:t>
            </w:r>
          </w:p>
        </w:tc>
      </w:tr>
      <w:tr w:rsidR="000C10FF" w:rsidRPr="007B5AF9" w:rsidTr="00E32672">
        <w:tc>
          <w:tcPr>
            <w:tcW w:w="178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2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c>
          <w:tcPr>
            <w:tcW w:w="5000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  <w:r w:rsidR="000E107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Администрация города Нефтеюганска</w:t>
            </w:r>
          </w:p>
        </w:tc>
      </w:tr>
      <w:tr w:rsidR="000E1078" w:rsidRPr="007B5AF9" w:rsidTr="00E32672">
        <w:tc>
          <w:tcPr>
            <w:tcW w:w="1789" w:type="pct"/>
            <w:shd w:val="clear" w:color="auto" w:fill="auto"/>
          </w:tcPr>
          <w:p w:rsidR="000E1078" w:rsidRPr="008C1AA9" w:rsidRDefault="000E1078" w:rsidP="000E10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Внесение изменений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НПА </w:t>
            </w: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>не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предусматривает изменений существующих функций</w:t>
            </w: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92" w:type="pct"/>
            <w:shd w:val="clear" w:color="auto" w:fill="auto"/>
          </w:tcPr>
          <w:p w:rsidR="000E1078" w:rsidRPr="008C1AA9" w:rsidRDefault="000E1078" w:rsidP="000E10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требуется изменений в существующий порядок реализации</w:t>
            </w:r>
          </w:p>
        </w:tc>
        <w:tc>
          <w:tcPr>
            <w:tcW w:w="1619" w:type="pct"/>
            <w:shd w:val="clear" w:color="auto" w:fill="auto"/>
          </w:tcPr>
          <w:p w:rsidR="000E1078" w:rsidRPr="007B5AF9" w:rsidRDefault="000E1078" w:rsidP="000E107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 потребность в иных ресурсах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B5AF9">
        <w:rPr>
          <w:rFonts w:ascii="Times New Roman" w:hAnsi="Times New Roman"/>
          <w:sz w:val="28"/>
          <w:szCs w:val="28"/>
          <w:lang w:eastAsia="ru-RU"/>
        </w:rPr>
        <w:t>.Оценка соответствующих расходов (возможных поступлен</w:t>
      </w:r>
      <w:r>
        <w:rPr>
          <w:rFonts w:ascii="Times New Roman" w:hAnsi="Times New Roman"/>
          <w:sz w:val="28"/>
          <w:szCs w:val="28"/>
          <w:lang w:eastAsia="ru-RU"/>
        </w:rPr>
        <w:t>ий)</w:t>
      </w:r>
    </w:p>
    <w:p w:rsidR="008F7D04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бюджета города Нефтеюганска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2166"/>
        <w:gridCol w:w="936"/>
        <w:gridCol w:w="2682"/>
        <w:gridCol w:w="2624"/>
      </w:tblGrid>
      <w:tr w:rsidR="000C10FF" w:rsidRPr="007B5AF9" w:rsidTr="000636D9">
        <w:tc>
          <w:tcPr>
            <w:tcW w:w="166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.1.Наименование новой или изменяемой функции, полномочия, обязанности или права</w:t>
            </w:r>
          </w:p>
        </w:tc>
        <w:tc>
          <w:tcPr>
            <w:tcW w:w="1936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.2.Описание видов расходов (возможных поступлений) бюджета города Нефтеюганска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04" w:type="pct"/>
            <w:shd w:val="clear" w:color="auto" w:fill="auto"/>
          </w:tcPr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.3.Количественная оценка расходов (возможных поступлений)</w:t>
            </w:r>
            <w:r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EA248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9.4.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64136C" w:rsidRPr="00491837" w:rsidRDefault="000C10FF" w:rsidP="00641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</w:t>
            </w:r>
            <w:r w:rsidRPr="00491837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4918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91837" w:rsidRPr="00491837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 ЖКХ администрации города Нефтеюганска</w:t>
            </w:r>
          </w:p>
        </w:tc>
      </w:tr>
      <w:tr w:rsidR="000C10FF" w:rsidRPr="007B5AF9" w:rsidTr="000636D9"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.4.1.</w:t>
            </w:r>
          </w:p>
        </w:tc>
        <w:tc>
          <w:tcPr>
            <w:tcW w:w="1159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.4.2.</w:t>
            </w: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единовременные расходы за период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6671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B92A38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67105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AF618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.4.3.</w:t>
            </w: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периодические расходы за период: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6671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76032F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67105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9A540F" w:rsidP="009A5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A540F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AF618A" w:rsidRPr="009A540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Pr="009A540F">
              <w:rPr>
                <w:rFonts w:ascii="Times New Roman" w:hAnsi="Times New Roman"/>
                <w:sz w:val="28"/>
                <w:szCs w:val="28"/>
                <w:lang w:eastAsia="ru-RU"/>
              </w:rPr>
              <w:t>314</w:t>
            </w:r>
            <w:r w:rsidR="00AF618A" w:rsidRPr="009A540F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9A540F">
              <w:rPr>
                <w:rFonts w:ascii="Times New Roman" w:hAnsi="Times New Roman"/>
                <w:sz w:val="28"/>
                <w:szCs w:val="28"/>
                <w:lang w:eastAsia="ru-RU"/>
              </w:rPr>
              <w:t>900</w:t>
            </w:r>
            <w:r w:rsidR="00DF16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.4.4.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Всего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возможные поступления за период: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6671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0636D9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67105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AF618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AF61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единовременные расходы за период</w:t>
            </w:r>
            <w:r w:rsidR="00AF61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2024</w:t>
            </w:r>
            <w:r w:rsidR="0065209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AF618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9A5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периодические расходы за период</w:t>
            </w:r>
            <w:r w:rsidR="006145A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</w:t>
            </w:r>
            <w:r w:rsidR="009A540F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65209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9A540F" w:rsidP="009A5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A540F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AF618A" w:rsidRPr="009A540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Pr="009A540F">
              <w:rPr>
                <w:rFonts w:ascii="Times New Roman" w:hAnsi="Times New Roman"/>
                <w:sz w:val="28"/>
                <w:szCs w:val="28"/>
                <w:lang w:eastAsia="ru-RU"/>
              </w:rPr>
              <w:t>314,900</w:t>
            </w:r>
            <w:bookmarkStart w:id="0" w:name="_GoBack"/>
            <w:bookmarkEnd w:id="0"/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9A5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возможные поступления за период</w:t>
            </w:r>
            <w:r w:rsidR="006145A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</w:t>
            </w:r>
            <w:r w:rsidR="009A540F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65209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AF618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9.8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7B5AF9" w:rsidRDefault="000C10FF" w:rsidP="0074258C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Иные сведения о расходах (возможных поступлениях) бюджета города Нефтеюганска</w:t>
            </w:r>
            <w:r w:rsidR="000636D9">
              <w:rPr>
                <w:rFonts w:ascii="Times New Roman" w:hAnsi="Times New Roman"/>
                <w:sz w:val="28"/>
                <w:szCs w:val="28"/>
                <w:lang w:eastAsia="ru-RU"/>
              </w:rPr>
              <w:t>: иные сведения отсутствуют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7B5AF9" w:rsidRDefault="000C10FF" w:rsidP="007425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74258C" w:rsidRPr="007425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решение Думы города Нефтеюганска от </w:t>
            </w:r>
            <w:proofErr w:type="spellStart"/>
            <w:r w:rsidR="009A540F" w:rsidRPr="008C1996">
              <w:rPr>
                <w:rFonts w:ascii="Times New Roman" w:eastAsia="Calibri" w:hAnsi="Times New Roman"/>
                <w:sz w:val="28"/>
                <w:szCs w:val="28"/>
              </w:rPr>
              <w:t>от</w:t>
            </w:r>
            <w:proofErr w:type="spellEnd"/>
            <w:r w:rsidR="009A540F" w:rsidRPr="008C1996">
              <w:rPr>
                <w:rFonts w:ascii="Times New Roman" w:eastAsia="Calibri" w:hAnsi="Times New Roman"/>
                <w:sz w:val="28"/>
                <w:szCs w:val="28"/>
              </w:rPr>
              <w:t xml:space="preserve"> 23.12.2024 № 700-VII «О бюджете города Нефтеюганска на 2025 год и плановый период 2026 и 2027 годов</w:t>
            </w:r>
            <w:r w:rsidR="009A540F" w:rsidRPr="009A540F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</w:tr>
    </w:tbl>
    <w:p w:rsidR="000A6845" w:rsidRDefault="000A6845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.Новые преимущества, а также </w:t>
      </w:r>
      <w:r>
        <w:rPr>
          <w:rFonts w:ascii="Times New Roman" w:hAnsi="Times New Roman"/>
          <w:sz w:val="28"/>
          <w:szCs w:val="28"/>
          <w:lang w:eastAsia="ru-RU"/>
        </w:rPr>
        <w:t xml:space="preserve">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субъектов предпринимательской и </w:t>
      </w:r>
      <w:r>
        <w:rPr>
          <w:rFonts w:ascii="Times New Roman" w:hAnsi="Times New Roman"/>
          <w:sz w:val="28"/>
          <w:szCs w:val="28"/>
          <w:lang w:eastAsia="ru-RU"/>
        </w:rPr>
        <w:t xml:space="preserve">иной экономической </w:t>
      </w:r>
      <w:r w:rsidRPr="007B5AF9">
        <w:rPr>
          <w:rFonts w:ascii="Times New Roman" w:hAnsi="Times New Roman"/>
          <w:sz w:val="28"/>
          <w:szCs w:val="28"/>
          <w:lang w:eastAsia="ru-RU"/>
        </w:rPr>
        <w:t>деятельности</w:t>
      </w:r>
      <w:r>
        <w:rPr>
          <w:rFonts w:ascii="Times New Roman" w:hAnsi="Times New Roman"/>
          <w:sz w:val="28"/>
          <w:szCs w:val="28"/>
          <w:lang w:eastAsia="ru-RU"/>
        </w:rPr>
        <w:t>, обязанности, запреты или ограничения для субъектов предпринимательской и  инвестиционной деятельности,</w:t>
      </w:r>
      <w:r w:rsidRPr="00386769">
        <w:t xml:space="preserve"> </w:t>
      </w:r>
      <w:r w:rsidRPr="00386769">
        <w:rPr>
          <w:rFonts w:ascii="Times New Roman" w:hAnsi="Times New Roman"/>
          <w:sz w:val="28"/>
          <w:szCs w:val="28"/>
          <w:lang w:eastAsia="ru-RU"/>
        </w:rPr>
        <w:t xml:space="preserve">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507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0"/>
        <w:gridCol w:w="3545"/>
        <w:gridCol w:w="2267"/>
        <w:gridCol w:w="1411"/>
      </w:tblGrid>
      <w:tr w:rsidR="000C10FF" w:rsidRPr="007B5AF9" w:rsidTr="000A6845">
        <w:tc>
          <w:tcPr>
            <w:tcW w:w="119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0.1.Группа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участников отношений</w:t>
            </w:r>
          </w:p>
        </w:tc>
        <w:tc>
          <w:tcPr>
            <w:tcW w:w="1867" w:type="pct"/>
            <w:shd w:val="clear" w:color="auto" w:fill="auto"/>
          </w:tcPr>
          <w:p w:rsidR="000C10FF" w:rsidRPr="007B5AF9" w:rsidRDefault="000C10FF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.2.Описание новых преимуществ,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запретов 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ограничений или изменения содержания существующих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запретов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ограничений</w:t>
            </w:r>
          </w:p>
        </w:tc>
        <w:tc>
          <w:tcPr>
            <w:tcW w:w="119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.3.Порядок организации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соблюдения 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исполнения обязанностей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запретов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 ограничений</w:t>
            </w:r>
          </w:p>
        </w:tc>
        <w:tc>
          <w:tcPr>
            <w:tcW w:w="743" w:type="pct"/>
          </w:tcPr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.4.Описание и оценка видов расходов (доходов)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0C10FF" w:rsidRPr="007B5AF9" w:rsidTr="000A6845">
        <w:trPr>
          <w:trHeight w:val="192"/>
        </w:trPr>
        <w:tc>
          <w:tcPr>
            <w:tcW w:w="1196" w:type="pct"/>
            <w:shd w:val="clear" w:color="auto" w:fill="auto"/>
          </w:tcPr>
          <w:p w:rsidR="000C10FF" w:rsidRPr="0028422D" w:rsidRDefault="000C10FF" w:rsidP="0028422D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(Группа участников отношений №</w:t>
            </w:r>
            <w:r w:rsidR="002842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</w:t>
            </w: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  <w:r w:rsidR="0028422D"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Юридические </w:t>
            </w:r>
            <w:r w:rsidR="0028422D"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лица, индивидуальные предприниматели</w:t>
            </w:r>
            <w:r w:rsidR="00652091">
              <w:rPr>
                <w:rFonts w:ascii="Times New Roman" w:hAnsi="Times New Roman"/>
                <w:sz w:val="28"/>
                <w:szCs w:val="28"/>
                <w:lang w:eastAsia="ru-RU"/>
              </w:rPr>
              <w:t>, физические лица.</w:t>
            </w:r>
          </w:p>
        </w:tc>
        <w:tc>
          <w:tcPr>
            <w:tcW w:w="1867" w:type="pct"/>
            <w:shd w:val="clear" w:color="auto" w:fill="auto"/>
          </w:tcPr>
          <w:p w:rsidR="00341EE0" w:rsidRDefault="0028422D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Получатель субсидии (у</w:t>
            </w: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частник отбора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  <w:r w:rsidR="006E3D49">
              <w:t xml:space="preserve"> </w:t>
            </w:r>
          </w:p>
          <w:p w:rsidR="0028422D" w:rsidRPr="0028422D" w:rsidRDefault="0028422D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должен находится в перечне организаций и </w:t>
            </w: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28422D" w:rsidRPr="0028422D" w:rsidRDefault="0028422D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-не должен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  <w:p w:rsidR="00341EE0" w:rsidRPr="007B5AF9" w:rsidRDefault="0028422D" w:rsidP="00AF68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-не должен являться иностранным агентом в соответствии с Федеральным законом «О контроле за деятельностью лиц, находящихся под иностранным влиянием</w:t>
            </w:r>
            <w:r w:rsidR="00652091">
              <w:rPr>
                <w:rFonts w:ascii="Times New Roman" w:hAnsi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194" w:type="pct"/>
            <w:shd w:val="clear" w:color="auto" w:fill="auto"/>
          </w:tcPr>
          <w:p w:rsidR="000C10FF" w:rsidRPr="0028422D" w:rsidRDefault="00341EE0" w:rsidP="00AF68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1EE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Постановление администрации города Нефтеюганска </w:t>
            </w:r>
            <w:r w:rsidRPr="00341EE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«</w:t>
            </w:r>
            <w:r w:rsidR="00AF68CF" w:rsidRPr="00AF68CF">
              <w:rPr>
                <w:rFonts w:ascii="Times New Roman" w:hAnsi="Times New Roman"/>
                <w:sz w:val="28"/>
                <w:szCs w:val="28"/>
                <w:lang w:eastAsia="ru-RU"/>
              </w:rPr>
              <w:t>О внесении изменений в постановление администрации города Нефтеюганска от 14.05.2018 № 65-нп «Об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издержек»</w:t>
            </w:r>
          </w:p>
        </w:tc>
        <w:tc>
          <w:tcPr>
            <w:tcW w:w="743" w:type="pct"/>
          </w:tcPr>
          <w:p w:rsidR="000C10FF" w:rsidRPr="0028422D" w:rsidRDefault="001D3A0A" w:rsidP="00AF68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</w:t>
            </w:r>
            <w:r w:rsidR="00AF68CF">
              <w:rPr>
                <w:rFonts w:ascii="Times New Roman" w:hAnsi="Times New Roman"/>
                <w:sz w:val="28"/>
                <w:szCs w:val="28"/>
                <w:lang w:eastAsia="ru-RU"/>
              </w:rPr>
              <w:t>1,015</w:t>
            </w:r>
          </w:p>
        </w:tc>
      </w:tr>
    </w:tbl>
    <w:p w:rsidR="000A6845" w:rsidRDefault="000A6845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A6845" w:rsidRDefault="000A6845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1.</w:t>
      </w:r>
      <w:r w:rsidRPr="007B5AF9">
        <w:rPr>
          <w:rFonts w:ascii="Times New Roman" w:hAnsi="Times New Roman"/>
          <w:sz w:val="28"/>
          <w:szCs w:val="28"/>
          <w:lang w:eastAsia="ru-RU"/>
        </w:rPr>
        <w:t>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1544"/>
        <w:gridCol w:w="2311"/>
        <w:gridCol w:w="2461"/>
        <w:gridCol w:w="2252"/>
      </w:tblGrid>
      <w:tr w:rsidR="000C10FF" w:rsidRPr="007B5AF9" w:rsidTr="006369D1">
        <w:tc>
          <w:tcPr>
            <w:tcW w:w="1242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.1.Риски решения проблемы предложенным способом и риски негативных последствий</w:t>
            </w:r>
          </w:p>
        </w:tc>
        <w:tc>
          <w:tcPr>
            <w:tcW w:w="123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.2.Оценк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вероятности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наступления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рисков</w:t>
            </w:r>
            <w:proofErr w:type="spellEnd"/>
          </w:p>
        </w:tc>
        <w:tc>
          <w:tcPr>
            <w:tcW w:w="1317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.3.Методы контроля эффективности избранного способа достижения целей регулирования</w:t>
            </w:r>
          </w:p>
        </w:tc>
        <w:tc>
          <w:tcPr>
            <w:tcW w:w="1205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.4.Степень контроля рисков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6369D1">
        <w:tc>
          <w:tcPr>
            <w:tcW w:w="1242" w:type="pct"/>
            <w:gridSpan w:val="2"/>
            <w:shd w:val="clear" w:color="auto" w:fill="auto"/>
          </w:tcPr>
          <w:p w:rsidR="000C10FF" w:rsidRPr="007F0A09" w:rsidRDefault="007F0A09" w:rsidP="00B64A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Риск 1. 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о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>сновани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для отклонения заявки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для участия в отборе на предоставление субсидии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стадии ее рассмотрения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36" w:type="pct"/>
            <w:shd w:val="clear" w:color="auto" w:fill="auto"/>
          </w:tcPr>
          <w:p w:rsidR="00B64A27" w:rsidRPr="00B64A27" w:rsidRDefault="00B64A27" w:rsidP="00B64A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 w:rsidR="00AC3946">
              <w:rPr>
                <w:rFonts w:ascii="Times New Roman" w:hAnsi="Times New Roman"/>
                <w:sz w:val="28"/>
                <w:szCs w:val="28"/>
                <w:lang w:eastAsia="ru-RU"/>
              </w:rPr>
              <w:t>Несоответствие</w:t>
            </w:r>
            <w:r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C3946"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участника отбора</w:t>
            </w:r>
          </w:p>
          <w:p w:rsidR="00B64A27" w:rsidRDefault="00AC3946" w:rsidP="00B64A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категориям и критериям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0C10FF" w:rsidRPr="007B5AF9" w:rsidRDefault="000C10FF" w:rsidP="00B64A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7" w:type="pct"/>
            <w:shd w:val="clear" w:color="auto" w:fill="auto"/>
          </w:tcPr>
          <w:p w:rsidR="000C10FF" w:rsidRPr="007B5AF9" w:rsidRDefault="00AC3946" w:rsidP="00AC39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6CB5">
              <w:rPr>
                <w:rFonts w:ascii="Times New Roman" w:hAnsi="Times New Roman"/>
                <w:sz w:val="28"/>
                <w:szCs w:val="28"/>
                <w:lang w:eastAsia="ru-RU"/>
              </w:rPr>
              <w:t>Проверка департаментом ЖКХ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на предмет соответствия участника отбора категориям и критериям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требованиям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, установленным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 П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орядк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ом предоставления субсидии 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и требованиям к перечню документов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05" w:type="pct"/>
            <w:shd w:val="clear" w:color="auto" w:fill="auto"/>
          </w:tcPr>
          <w:p w:rsidR="000C10FF" w:rsidRPr="007B5AF9" w:rsidRDefault="00B64A27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Средняя</w:t>
            </w:r>
          </w:p>
        </w:tc>
      </w:tr>
      <w:tr w:rsidR="000C10FF" w:rsidRPr="007B5AF9" w:rsidTr="00A9660C">
        <w:tc>
          <w:tcPr>
            <w:tcW w:w="41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.5.</w:t>
            </w:r>
          </w:p>
        </w:tc>
        <w:tc>
          <w:tcPr>
            <w:tcW w:w="4584" w:type="pct"/>
            <w:gridSpan w:val="4"/>
            <w:shd w:val="clear" w:color="auto" w:fill="auto"/>
          </w:tcPr>
          <w:p w:rsidR="00D91C8A" w:rsidRDefault="000C10FF" w:rsidP="00D91C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EC5BE9" w:rsidRPr="00EC5B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Постановление администрации города Нефтеюганска </w:t>
            </w:r>
            <w:r w:rsidR="00A9660C" w:rsidRPr="00A9660C">
              <w:rPr>
                <w:rFonts w:ascii="Times New Roman" w:hAnsi="Times New Roman"/>
                <w:sz w:val="28"/>
                <w:szCs w:val="28"/>
                <w:lang w:eastAsia="ru-RU"/>
              </w:rPr>
              <w:t>от 14.05.2018 № 65-нп «Об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издержек»</w:t>
            </w:r>
            <w:r w:rsidR="00D91C8A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D91C8A" w:rsidRPr="00D91C8A" w:rsidRDefault="00D91C8A" w:rsidP="00D91C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D91C8A">
              <w:rPr>
                <w:rFonts w:ascii="Times New Roman" w:hAnsi="Times New Roman"/>
                <w:sz w:val="28"/>
                <w:szCs w:val="28"/>
                <w:lang w:eastAsia="ru-RU"/>
              </w:rPr>
              <w:t>Статья 78 Бюджетного кодекса Российской Федерации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0C10FF" w:rsidRPr="007B5AF9" w:rsidRDefault="000C10FF" w:rsidP="00EC5B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  <w:r w:rsidRPr="007B5AF9">
        <w:t>1</w:t>
      </w:r>
      <w:r>
        <w:t>2</w:t>
      </w:r>
      <w:r w:rsidRPr="007B5AF9">
        <w:t>.Индикативные показатели, программы мониторинга и иные способы (методы) оценки достижения заявленных целей регулирования</w:t>
      </w:r>
    </w:p>
    <w:p w:rsidR="000C10FF" w:rsidRPr="007B5AF9" w:rsidRDefault="000C10FF" w:rsidP="000C10FF">
      <w:pPr>
        <w:pStyle w:val="a3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"/>
        <w:gridCol w:w="1709"/>
        <w:gridCol w:w="2016"/>
        <w:gridCol w:w="1047"/>
        <w:gridCol w:w="1125"/>
        <w:gridCol w:w="2580"/>
      </w:tblGrid>
      <w:tr w:rsidR="000C10FF" w:rsidRPr="007B5AF9" w:rsidTr="004F51B9">
        <w:tc>
          <w:tcPr>
            <w:tcW w:w="1324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Цели предлагаемого регулирования</w:t>
            </w:r>
            <w:r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14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</w:t>
            </w:r>
          </w:p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Индикативные показатели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(по годам)</w:t>
            </w:r>
          </w:p>
        </w:tc>
        <w:tc>
          <w:tcPr>
            <w:tcW w:w="1204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Единицы измерения индикативных показателей</w:t>
            </w:r>
          </w:p>
        </w:tc>
        <w:tc>
          <w:tcPr>
            <w:tcW w:w="1327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lastRenderedPageBreak/>
              <w:t>Способы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расчета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индикативных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показателей</w:t>
            </w:r>
            <w:proofErr w:type="spellEnd"/>
          </w:p>
        </w:tc>
      </w:tr>
      <w:tr w:rsidR="000C10FF" w:rsidRPr="007B5AF9" w:rsidTr="004F51B9">
        <w:trPr>
          <w:trHeight w:val="330"/>
        </w:trPr>
        <w:tc>
          <w:tcPr>
            <w:tcW w:w="1324" w:type="pct"/>
            <w:gridSpan w:val="2"/>
            <w:shd w:val="clear" w:color="auto" w:fill="auto"/>
          </w:tcPr>
          <w:p w:rsidR="000C10FF" w:rsidRPr="00386769" w:rsidRDefault="004F51B9" w:rsidP="00E3267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F51B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Предоставление субсидии из бюджета города Нефтеюганска </w:t>
            </w:r>
            <w:r w:rsidR="00BA6F11" w:rsidRPr="00BA6F11">
              <w:rPr>
                <w:rFonts w:ascii="Times New Roman" w:eastAsia="Calibri" w:hAnsi="Times New Roman"/>
                <w:sz w:val="28"/>
                <w:szCs w:val="28"/>
              </w:rPr>
              <w:t>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</w:t>
            </w:r>
          </w:p>
        </w:tc>
        <w:tc>
          <w:tcPr>
            <w:tcW w:w="1144" w:type="pct"/>
            <w:shd w:val="clear" w:color="auto" w:fill="auto"/>
          </w:tcPr>
          <w:p w:rsidR="000C10FF" w:rsidRPr="007B5AF9" w:rsidRDefault="00222E52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2E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обеспечения </w:t>
            </w:r>
            <w:proofErr w:type="spellStart"/>
            <w:r w:rsidRPr="00222E52">
              <w:rPr>
                <w:rFonts w:ascii="Times New Roman" w:hAnsi="Times New Roman"/>
                <w:sz w:val="28"/>
                <w:szCs w:val="28"/>
                <w:lang w:eastAsia="ru-RU"/>
              </w:rPr>
              <w:t>помывок</w:t>
            </w:r>
            <w:proofErr w:type="spellEnd"/>
            <w:r w:rsidRPr="00222E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льготных категорий граждан (не менее 100%) от всех обратившихся за мерами социальной поддержки в виде льготного пользования услугами городской бани</w:t>
            </w:r>
          </w:p>
        </w:tc>
        <w:tc>
          <w:tcPr>
            <w:tcW w:w="1204" w:type="pct"/>
            <w:gridSpan w:val="2"/>
            <w:shd w:val="clear" w:color="auto" w:fill="auto"/>
          </w:tcPr>
          <w:p w:rsidR="000C10FF" w:rsidRPr="007B5AF9" w:rsidRDefault="004F51B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t>Поцент</w:t>
            </w:r>
            <w:proofErr w:type="spellEnd"/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t>, %</w:t>
            </w:r>
          </w:p>
        </w:tc>
        <w:tc>
          <w:tcPr>
            <w:tcW w:w="1327" w:type="pct"/>
            <w:shd w:val="clear" w:color="auto" w:fill="auto"/>
          </w:tcPr>
          <w:p w:rsidR="000C10FF" w:rsidRPr="007B5AF9" w:rsidRDefault="004F51B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t>Данные из постановления администрации от 15.11.2018 № 605-п</w:t>
            </w:r>
          </w:p>
        </w:tc>
      </w:tr>
      <w:tr w:rsidR="000C10FF" w:rsidRPr="007B5AF9" w:rsidTr="004F51B9">
        <w:tc>
          <w:tcPr>
            <w:tcW w:w="44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.5.</w:t>
            </w:r>
          </w:p>
        </w:tc>
        <w:tc>
          <w:tcPr>
            <w:tcW w:w="4554" w:type="pct"/>
            <w:gridSpan w:val="5"/>
            <w:shd w:val="clear" w:color="auto" w:fill="auto"/>
          </w:tcPr>
          <w:p w:rsidR="000C10FF" w:rsidRPr="007B5AF9" w:rsidRDefault="000C10FF" w:rsidP="006509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  <w:r w:rsidR="0065091A">
              <w:t xml:space="preserve"> </w:t>
            </w:r>
            <w:r w:rsidR="0065091A" w:rsidRPr="0065091A">
              <w:rPr>
                <w:rFonts w:ascii="Times New Roman" w:hAnsi="Times New Roman"/>
                <w:sz w:val="28"/>
              </w:rPr>
              <w:t xml:space="preserve">ежемесячное предоставление 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отчет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 достижении значений результатов предоставления субсидии по состоянию на последнее число каждого отчетного месяца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4F51B9">
        <w:tc>
          <w:tcPr>
            <w:tcW w:w="44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.6.</w:t>
            </w:r>
          </w:p>
        </w:tc>
        <w:tc>
          <w:tcPr>
            <w:tcW w:w="2647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Оценка затрат на осуществление мониторинга (в среднем в год):</w:t>
            </w:r>
          </w:p>
        </w:tc>
        <w:tc>
          <w:tcPr>
            <w:tcW w:w="1907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_____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) </w:t>
            </w:r>
          </w:p>
        </w:tc>
      </w:tr>
      <w:tr w:rsidR="000C10FF" w:rsidRPr="007B5AF9" w:rsidTr="004F51B9">
        <w:tc>
          <w:tcPr>
            <w:tcW w:w="44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.7.</w:t>
            </w:r>
          </w:p>
        </w:tc>
        <w:tc>
          <w:tcPr>
            <w:tcW w:w="4554" w:type="pct"/>
            <w:gridSpan w:val="5"/>
            <w:shd w:val="clear" w:color="auto" w:fill="auto"/>
          </w:tcPr>
          <w:p w:rsidR="000C10FF" w:rsidRPr="007B5AF9" w:rsidRDefault="000C10FF" w:rsidP="0065091A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источников информации для расчета показателей (индикаторов):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отсутствуют</w:t>
            </w:r>
          </w:p>
        </w:tc>
      </w:tr>
    </w:tbl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  <w:r w:rsidRPr="007B5AF9">
        <w:lastRenderedPageBreak/>
        <w:t>1</w:t>
      </w:r>
      <w:r>
        <w:t>3.</w:t>
      </w:r>
      <w:r w:rsidRPr="007B5AF9">
        <w:t xml:space="preserve">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</w:t>
      </w:r>
      <w:r>
        <w:t>внесения изменений в действующие муниципальные нормативные правовые акты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253"/>
        <w:gridCol w:w="776"/>
        <w:gridCol w:w="3540"/>
      </w:tblGrid>
      <w:tr w:rsidR="000C10FF" w:rsidRPr="007B5AF9" w:rsidTr="00EB6981">
        <w:trPr>
          <w:trHeight w:val="1861"/>
        </w:trPr>
        <w:tc>
          <w:tcPr>
            <w:tcW w:w="415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2616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1969" w:type="pct"/>
            <w:shd w:val="clear" w:color="auto" w:fill="auto"/>
          </w:tcPr>
          <w:p w:rsidR="000C10FF" w:rsidRPr="007B5AF9" w:rsidRDefault="0065091A" w:rsidP="006671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ступает в силу после его официального опубликования </w:t>
            </w:r>
            <w:r w:rsidR="00EB6981" w:rsidRPr="00EB6981">
              <w:rPr>
                <w:rFonts w:ascii="Times New Roman" w:hAnsi="Times New Roman"/>
                <w:sz w:val="28"/>
                <w:szCs w:val="28"/>
                <w:lang w:eastAsia="ru-RU"/>
              </w:rPr>
              <w:t>и распространяет свое действие на правоотношения, возникшие с 01.01.202</w:t>
            </w:r>
            <w:r w:rsidR="00667105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EB6981" w:rsidRPr="00EB6981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B6981">
        <w:tc>
          <w:tcPr>
            <w:tcW w:w="415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2276" w:type="pct"/>
            <w:shd w:val="clear" w:color="auto" w:fill="auto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установления переходных положений (переходного периода):</w:t>
            </w:r>
          </w:p>
          <w:p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(есть/ нет)</w:t>
            </w:r>
          </w:p>
        </w:tc>
        <w:tc>
          <w:tcPr>
            <w:tcW w:w="340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969" w:type="pct"/>
            <w:shd w:val="clear" w:color="auto" w:fill="auto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 (если есть необходимость):</w:t>
            </w:r>
          </w:p>
          <w:p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(дней с момента принятия проекта нормативного правового акта)</w:t>
            </w:r>
          </w:p>
        </w:tc>
      </w:tr>
      <w:tr w:rsidR="000C10FF" w:rsidRPr="007B5AF9" w:rsidTr="00EB6981">
        <w:tc>
          <w:tcPr>
            <w:tcW w:w="415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13.4.</w:t>
            </w:r>
          </w:p>
        </w:tc>
        <w:tc>
          <w:tcPr>
            <w:tcW w:w="2276" w:type="pct"/>
            <w:shd w:val="clear" w:color="auto" w:fill="auto"/>
          </w:tcPr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</w:t>
            </w:r>
            <w:proofErr w:type="gramEnd"/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есть /нет)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указываются муниципальные нормативные правовые акты, в которые необходимо внести изменения после принятия проекта муниципального нормативного правового акта)</w:t>
            </w:r>
          </w:p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" w:type="pct"/>
            <w:shd w:val="clear" w:color="auto" w:fill="auto"/>
          </w:tcPr>
          <w:p w:rsidR="000C10FF" w:rsidRPr="00CD480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13.5.</w:t>
            </w:r>
          </w:p>
        </w:tc>
        <w:tc>
          <w:tcPr>
            <w:tcW w:w="1969" w:type="pct"/>
            <w:shd w:val="clear" w:color="auto" w:fill="auto"/>
          </w:tcPr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0C10FF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нет</w:t>
            </w:r>
          </w:p>
          <w:p w:rsidR="000C10FF" w:rsidRPr="004022D8" w:rsidRDefault="000C10FF" w:rsidP="00E32672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022D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(дней с момента принятия проекта муниципального нормативного правового акта)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tabs>
          <w:tab w:val="left" w:pos="36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43"/>
        <w:gridCol w:w="2283"/>
        <w:gridCol w:w="2129"/>
      </w:tblGrid>
      <w:tr w:rsidR="000C10FF" w:rsidRPr="007B5AF9" w:rsidTr="00E32672">
        <w:tc>
          <w:tcPr>
            <w:tcW w:w="2642" w:type="pct"/>
            <w:shd w:val="clear" w:color="auto" w:fill="auto"/>
            <w:vAlign w:val="bottom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Руководитель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органа или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структурного подразделения администрации города Нефтеюганска, или его заместитель</w:t>
            </w:r>
          </w:p>
          <w:p w:rsidR="000C10FF" w:rsidRPr="007B5AF9" w:rsidRDefault="00667105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А.Н.Сахаров</w:t>
            </w: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(инициалы, фамилия)</w:t>
            </w:r>
          </w:p>
        </w:tc>
        <w:tc>
          <w:tcPr>
            <w:tcW w:w="1220" w:type="pct"/>
            <w:shd w:val="clear" w:color="auto" w:fill="auto"/>
            <w:vAlign w:val="bottom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139" w:type="pct"/>
            <w:shd w:val="clear" w:color="auto" w:fill="auto"/>
            <w:vAlign w:val="bottom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Подпись</w:t>
            </w:r>
          </w:p>
        </w:tc>
      </w:tr>
    </w:tbl>
    <w:p w:rsidR="00D920C2" w:rsidRDefault="00D32B7A">
      <w:r>
        <w:t xml:space="preserve"> </w:t>
      </w:r>
    </w:p>
    <w:sectPr w:rsidR="00D92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5DC" w:rsidRDefault="009775DC" w:rsidP="000C10FF">
      <w:pPr>
        <w:spacing w:after="0" w:line="240" w:lineRule="auto"/>
      </w:pPr>
      <w:r>
        <w:separator/>
      </w:r>
    </w:p>
  </w:endnote>
  <w:endnote w:type="continuationSeparator" w:id="0">
    <w:p w:rsidR="009775DC" w:rsidRDefault="009775DC" w:rsidP="000C1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5DC" w:rsidRDefault="009775DC" w:rsidP="000C10FF">
      <w:pPr>
        <w:spacing w:after="0" w:line="240" w:lineRule="auto"/>
      </w:pPr>
      <w:r>
        <w:separator/>
      </w:r>
    </w:p>
  </w:footnote>
  <w:footnote w:type="continuationSeparator" w:id="0">
    <w:p w:rsidR="009775DC" w:rsidRDefault="009775DC" w:rsidP="000C10FF">
      <w:pPr>
        <w:spacing w:after="0" w:line="240" w:lineRule="auto"/>
      </w:pPr>
      <w:r>
        <w:continuationSeparator/>
      </w:r>
    </w:p>
  </w:footnote>
  <w:footnote w:id="1">
    <w:p w:rsidR="000C10FF" w:rsidRPr="00FD065C" w:rsidRDefault="000C10FF" w:rsidP="000C10FF">
      <w:pPr>
        <w:pStyle w:val="a4"/>
        <w:jc w:val="both"/>
        <w:rPr>
          <w:rFonts w:ascii="Times New Roman" w:hAnsi="Times New Roman"/>
          <w:lang w:val="ru-RU"/>
        </w:rPr>
      </w:pPr>
      <w:r w:rsidRPr="0060101B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ru-RU"/>
        </w:rPr>
        <w:t xml:space="preserve">Указывается прогнозное значение </w:t>
      </w:r>
      <w:r>
        <w:rPr>
          <w:rFonts w:ascii="Times New Roman" w:hAnsi="Times New Roman"/>
        </w:rPr>
        <w:t>количеств</w:t>
      </w:r>
      <w:r>
        <w:rPr>
          <w:rFonts w:ascii="Times New Roman" w:hAnsi="Times New Roman"/>
          <w:lang w:val="ru-RU"/>
        </w:rPr>
        <w:t>енной</w:t>
      </w:r>
      <w:r>
        <w:rPr>
          <w:rFonts w:ascii="Times New Roman" w:hAnsi="Times New Roman"/>
        </w:rPr>
        <w:t xml:space="preserve"> оценк</w:t>
      </w:r>
      <w:r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</w:rPr>
        <w:t xml:space="preserve"> расходов (возможных поступлений) </w:t>
      </w:r>
      <w:r>
        <w:rPr>
          <w:rFonts w:ascii="Times New Roman" w:hAnsi="Times New Roman"/>
          <w:lang w:val="ru-RU"/>
        </w:rPr>
        <w:t>на 5 лет.</w:t>
      </w:r>
    </w:p>
  </w:footnote>
  <w:footnote w:id="2">
    <w:p w:rsidR="000C10FF" w:rsidRPr="00B10580" w:rsidRDefault="000C10FF" w:rsidP="000C10FF">
      <w:pPr>
        <w:pStyle w:val="a4"/>
        <w:rPr>
          <w:rFonts w:ascii="Times New Roman" w:hAnsi="Times New Roman"/>
        </w:rPr>
      </w:pPr>
      <w:r w:rsidRPr="00B10580">
        <w:rPr>
          <w:rStyle w:val="a6"/>
          <w:rFonts w:ascii="Times New Roman" w:hAnsi="Times New Roman"/>
        </w:rPr>
        <w:footnoteRef/>
      </w:r>
      <w:r w:rsidRPr="00B10580">
        <w:rPr>
          <w:rFonts w:ascii="Times New Roman" w:hAnsi="Times New Roman"/>
        </w:rPr>
        <w:t> </w:t>
      </w:r>
      <w:r w:rsidRPr="00B10580">
        <w:rPr>
          <w:rFonts w:ascii="Times New Roman" w:hAnsi="Times New Roman"/>
        </w:rPr>
        <w:t>Указываются данные из раздела 5 сводного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C2"/>
    <w:rsid w:val="00042390"/>
    <w:rsid w:val="000636D9"/>
    <w:rsid w:val="00067489"/>
    <w:rsid w:val="00087B26"/>
    <w:rsid w:val="000A6845"/>
    <w:rsid w:val="000B2227"/>
    <w:rsid w:val="000C10FF"/>
    <w:rsid w:val="000C7A06"/>
    <w:rsid w:val="000E1078"/>
    <w:rsid w:val="00110ACE"/>
    <w:rsid w:val="0014467B"/>
    <w:rsid w:val="00183922"/>
    <w:rsid w:val="00193BA5"/>
    <w:rsid w:val="001B19C8"/>
    <w:rsid w:val="001B7661"/>
    <w:rsid w:val="001C2368"/>
    <w:rsid w:val="001C7496"/>
    <w:rsid w:val="001C75AE"/>
    <w:rsid w:val="001D3A0A"/>
    <w:rsid w:val="001F568E"/>
    <w:rsid w:val="0021291B"/>
    <w:rsid w:val="00222E52"/>
    <w:rsid w:val="0022513C"/>
    <w:rsid w:val="002435EA"/>
    <w:rsid w:val="0028422D"/>
    <w:rsid w:val="002B0E3A"/>
    <w:rsid w:val="002C30B9"/>
    <w:rsid w:val="002C45FF"/>
    <w:rsid w:val="002C4FE3"/>
    <w:rsid w:val="002E4635"/>
    <w:rsid w:val="002E6D75"/>
    <w:rsid w:val="00300E2F"/>
    <w:rsid w:val="00341EE0"/>
    <w:rsid w:val="00346C7F"/>
    <w:rsid w:val="00392B0B"/>
    <w:rsid w:val="003B541B"/>
    <w:rsid w:val="003C13C5"/>
    <w:rsid w:val="003F5EC0"/>
    <w:rsid w:val="00491837"/>
    <w:rsid w:val="004B420F"/>
    <w:rsid w:val="004E1320"/>
    <w:rsid w:val="004E5A9B"/>
    <w:rsid w:val="004F51B9"/>
    <w:rsid w:val="0050271F"/>
    <w:rsid w:val="00526463"/>
    <w:rsid w:val="005453F7"/>
    <w:rsid w:val="00597159"/>
    <w:rsid w:val="005F3BAC"/>
    <w:rsid w:val="005F7964"/>
    <w:rsid w:val="006145AE"/>
    <w:rsid w:val="006369D1"/>
    <w:rsid w:val="0064136C"/>
    <w:rsid w:val="0065091A"/>
    <w:rsid w:val="00652091"/>
    <w:rsid w:val="0065300A"/>
    <w:rsid w:val="0065657B"/>
    <w:rsid w:val="00657EB3"/>
    <w:rsid w:val="0066370D"/>
    <w:rsid w:val="00667105"/>
    <w:rsid w:val="006721F6"/>
    <w:rsid w:val="006A2755"/>
    <w:rsid w:val="006C375E"/>
    <w:rsid w:val="006E3D49"/>
    <w:rsid w:val="00704DBF"/>
    <w:rsid w:val="00716EC0"/>
    <w:rsid w:val="00732A4D"/>
    <w:rsid w:val="0074258C"/>
    <w:rsid w:val="00756267"/>
    <w:rsid w:val="0076032F"/>
    <w:rsid w:val="0076438B"/>
    <w:rsid w:val="00766100"/>
    <w:rsid w:val="007B62BA"/>
    <w:rsid w:val="007D0CA0"/>
    <w:rsid w:val="007E243D"/>
    <w:rsid w:val="007F0A09"/>
    <w:rsid w:val="007F2CC6"/>
    <w:rsid w:val="0081452D"/>
    <w:rsid w:val="00832199"/>
    <w:rsid w:val="00842F2E"/>
    <w:rsid w:val="008444ED"/>
    <w:rsid w:val="008B7AB3"/>
    <w:rsid w:val="008C1AA9"/>
    <w:rsid w:val="008C2396"/>
    <w:rsid w:val="008F409B"/>
    <w:rsid w:val="008F7D04"/>
    <w:rsid w:val="00902B8F"/>
    <w:rsid w:val="009770B0"/>
    <w:rsid w:val="009775DC"/>
    <w:rsid w:val="00997267"/>
    <w:rsid w:val="009A540F"/>
    <w:rsid w:val="009C4BBE"/>
    <w:rsid w:val="009C4DE3"/>
    <w:rsid w:val="009C6C80"/>
    <w:rsid w:val="009E3998"/>
    <w:rsid w:val="00A2134B"/>
    <w:rsid w:val="00A36564"/>
    <w:rsid w:val="00A4025F"/>
    <w:rsid w:val="00A702BB"/>
    <w:rsid w:val="00A9660C"/>
    <w:rsid w:val="00AA4C23"/>
    <w:rsid w:val="00AB77C6"/>
    <w:rsid w:val="00AC3946"/>
    <w:rsid w:val="00AE3C79"/>
    <w:rsid w:val="00AF618A"/>
    <w:rsid w:val="00AF68CF"/>
    <w:rsid w:val="00B64A27"/>
    <w:rsid w:val="00B65CE6"/>
    <w:rsid w:val="00B92A38"/>
    <w:rsid w:val="00BA6F11"/>
    <w:rsid w:val="00C157E8"/>
    <w:rsid w:val="00C22B31"/>
    <w:rsid w:val="00C8203F"/>
    <w:rsid w:val="00C83604"/>
    <w:rsid w:val="00C96CB5"/>
    <w:rsid w:val="00CA1016"/>
    <w:rsid w:val="00CF3B89"/>
    <w:rsid w:val="00D17618"/>
    <w:rsid w:val="00D32B7A"/>
    <w:rsid w:val="00D37E05"/>
    <w:rsid w:val="00D46B0D"/>
    <w:rsid w:val="00D670DD"/>
    <w:rsid w:val="00D67CCD"/>
    <w:rsid w:val="00D90A05"/>
    <w:rsid w:val="00D91C8A"/>
    <w:rsid w:val="00D920C2"/>
    <w:rsid w:val="00DB0080"/>
    <w:rsid w:val="00DC6244"/>
    <w:rsid w:val="00DF168E"/>
    <w:rsid w:val="00E50565"/>
    <w:rsid w:val="00EB6981"/>
    <w:rsid w:val="00EC5BE9"/>
    <w:rsid w:val="00F274EE"/>
    <w:rsid w:val="00F87788"/>
    <w:rsid w:val="00FC09B1"/>
    <w:rsid w:val="00FE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85DFC-FAF5-4532-ACA1-F349EC1C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0F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10F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0C10FF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5">
    <w:name w:val="Текст сноски Знак"/>
    <w:basedOn w:val="a0"/>
    <w:link w:val="a4"/>
    <w:uiPriority w:val="99"/>
    <w:rsid w:val="000C10FF"/>
    <w:rPr>
      <w:rFonts w:ascii="Calibri" w:eastAsia="Calibri" w:hAnsi="Calibri" w:cs="Times New Roman"/>
      <w:sz w:val="20"/>
      <w:szCs w:val="20"/>
      <w:lang w:val="x-none"/>
    </w:rPr>
  </w:style>
  <w:style w:type="character" w:styleId="a6">
    <w:name w:val="footnote reference"/>
    <w:uiPriority w:val="99"/>
    <w:unhideWhenUsed/>
    <w:rsid w:val="000C10FF"/>
    <w:rPr>
      <w:vertAlign w:val="superscript"/>
    </w:rPr>
  </w:style>
  <w:style w:type="table" w:customStyle="1" w:styleId="1">
    <w:name w:val="Сетка таблицы1"/>
    <w:basedOn w:val="a1"/>
    <w:next w:val="a7"/>
    <w:uiPriority w:val="39"/>
    <w:rsid w:val="000C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0C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C3946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26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2646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13</Pages>
  <Words>3231</Words>
  <Characters>18417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ОЭПиМ-106А-4</cp:lastModifiedBy>
  <cp:revision>15</cp:revision>
  <cp:lastPrinted>2024-02-19T07:24:00Z</cp:lastPrinted>
  <dcterms:created xsi:type="dcterms:W3CDTF">2024-02-21T10:55:00Z</dcterms:created>
  <dcterms:modified xsi:type="dcterms:W3CDTF">2025-04-18T08:15:00Z</dcterms:modified>
</cp:coreProperties>
</file>