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47B" w:rsidRDefault="00B30B39">
      <w:pPr>
        <w:tabs>
          <w:tab w:val="left" w:pos="1134"/>
          <w:tab w:val="left" w:pos="1276"/>
          <w:tab w:val="left" w:pos="1418"/>
        </w:tabs>
        <w:jc w:val="center"/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</w:pPr>
      <w:r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  <w:t>Извещение</w:t>
      </w:r>
    </w:p>
    <w:p w:rsidR="0061147B" w:rsidRDefault="00B30B39">
      <w:pPr>
        <w:tabs>
          <w:tab w:val="left" w:pos="1134"/>
          <w:tab w:val="left" w:pos="1276"/>
          <w:tab w:val="left" w:pos="1418"/>
        </w:tabs>
        <w:jc w:val="center"/>
      </w:pPr>
      <w:r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  <w:t xml:space="preserve">о проведении открытого электронного аукциона на право заключения договора на размещение </w:t>
      </w:r>
      <w:r w:rsidR="00364F9F"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  <w:t xml:space="preserve">сезонного </w:t>
      </w:r>
      <w:r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  <w:t xml:space="preserve">нестационарного торгового объекта  </w:t>
      </w:r>
    </w:p>
    <w:p w:rsidR="0061147B" w:rsidRDefault="00B30B39">
      <w:pPr>
        <w:tabs>
          <w:tab w:val="left" w:pos="1134"/>
          <w:tab w:val="left" w:pos="1276"/>
          <w:tab w:val="left" w:pos="1418"/>
        </w:tabs>
        <w:jc w:val="center"/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</w:pPr>
      <w:r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  <w:t>на территории города Нефтеюганска</w:t>
      </w:r>
    </w:p>
    <w:p w:rsidR="0061147B" w:rsidRDefault="0061147B">
      <w:pPr>
        <w:pStyle w:val="ConsPlusNormal"/>
        <w:contextualSpacing/>
        <w:jc w:val="both"/>
        <w:rPr>
          <w:rFonts w:ascii="Liberation Serif;Times New Roma" w:eastAsia="Calibri" w:hAnsi="Liberation Serif;Times New Roma" w:cs="Liberation Serif;Times New Roma"/>
          <w:b/>
          <w:sz w:val="28"/>
          <w:szCs w:val="28"/>
          <w:lang w:eastAsia="ru-RU"/>
        </w:rPr>
      </w:pPr>
    </w:p>
    <w:p w:rsidR="0061147B" w:rsidRDefault="00B30B3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1.Организатор электронного аукциона </w:t>
      </w:r>
    </w:p>
    <w:p w:rsidR="0061147B" w:rsidRDefault="00B30B39">
      <w:pPr>
        <w:ind w:firstLine="708"/>
        <w:jc w:val="both"/>
      </w:pPr>
      <w:r>
        <w:rPr>
          <w:sz w:val="28"/>
          <w:szCs w:val="28"/>
        </w:rPr>
        <w:t xml:space="preserve">Департамент экономического развития администрации города Нефтеюганска </w:t>
      </w:r>
      <w:r>
        <w:rPr>
          <w:sz w:val="28"/>
          <w:szCs w:val="28"/>
          <w:lang w:eastAsia="ru-RU"/>
        </w:rPr>
        <w:t>(далее - организатор аукциона).</w:t>
      </w:r>
    </w:p>
    <w:p w:rsidR="0061147B" w:rsidRDefault="00B30B39">
      <w:pPr>
        <w:ind w:firstLine="709"/>
        <w:jc w:val="both"/>
      </w:pPr>
      <w:r>
        <w:rPr>
          <w:sz w:val="28"/>
          <w:szCs w:val="28"/>
          <w:lang w:eastAsia="ru-RU"/>
        </w:rPr>
        <w:t>Место нахождения, почтовый адрес: 628309, Российская Федерация, Тюменская область, Ханты-Мансийский автономный округ - Югра, г.Нефтеюганск, 2 микрорайон, дом 23, тел. 23-77-90.</w:t>
      </w:r>
    </w:p>
    <w:p w:rsidR="0061147B" w:rsidRDefault="00B30B3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Электронный адрес: </w:t>
      </w:r>
      <w:hyperlink r:id="rId7" w:tooltip="mailto:pr_der@admugansk.ru" w:history="1">
        <w:r>
          <w:rPr>
            <w:rStyle w:val="af7"/>
            <w:color w:val="000000"/>
            <w:sz w:val="28"/>
            <w:szCs w:val="28"/>
            <w:u w:val="none"/>
            <w:lang w:val="en-US" w:eastAsia="ru-RU"/>
          </w:rPr>
          <w:t>pr</w:t>
        </w:r>
        <w:r>
          <w:rPr>
            <w:rStyle w:val="af7"/>
            <w:color w:val="000000"/>
            <w:sz w:val="28"/>
            <w:szCs w:val="28"/>
            <w:u w:val="none"/>
            <w:lang w:eastAsia="ru-RU"/>
          </w:rPr>
          <w:t>_</w:t>
        </w:r>
        <w:r>
          <w:rPr>
            <w:rStyle w:val="af7"/>
            <w:color w:val="000000"/>
            <w:sz w:val="28"/>
            <w:szCs w:val="28"/>
            <w:u w:val="none"/>
            <w:lang w:val="en-US" w:eastAsia="ru-RU"/>
          </w:rPr>
          <w:t>der</w:t>
        </w:r>
        <w:r>
          <w:rPr>
            <w:rStyle w:val="af7"/>
            <w:color w:val="000000"/>
            <w:sz w:val="28"/>
            <w:szCs w:val="28"/>
            <w:u w:val="none"/>
            <w:lang w:eastAsia="ru-RU"/>
          </w:rPr>
          <w:t>@</w:t>
        </w:r>
        <w:r>
          <w:rPr>
            <w:rStyle w:val="af7"/>
            <w:color w:val="000000"/>
            <w:sz w:val="28"/>
            <w:szCs w:val="28"/>
            <w:u w:val="none"/>
            <w:lang w:val="en-US" w:eastAsia="ru-RU"/>
          </w:rPr>
          <w:t>admugansk</w:t>
        </w:r>
        <w:r>
          <w:rPr>
            <w:rStyle w:val="af7"/>
            <w:color w:val="000000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f7"/>
            <w:color w:val="000000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>
        <w:rPr>
          <w:sz w:val="28"/>
          <w:szCs w:val="28"/>
          <w:lang w:eastAsia="ru-RU"/>
        </w:rPr>
        <w:t>.</w:t>
      </w:r>
    </w:p>
    <w:p w:rsidR="0061147B" w:rsidRDefault="00B30B39">
      <w:pPr>
        <w:ind w:firstLine="709"/>
        <w:jc w:val="both"/>
      </w:pPr>
      <w:r>
        <w:rPr>
          <w:sz w:val="28"/>
          <w:szCs w:val="28"/>
          <w:lang w:eastAsia="ru-RU"/>
        </w:rPr>
        <w:t>Основание для проведения аукциона: Распоряжение администрации города Нефтеюганска от 13.03.2025 № 115-р «О проведении открытого электронного аукциона на право заключения договоров на размещение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года»</w:t>
      </w:r>
    </w:p>
    <w:p w:rsidR="0061147B" w:rsidRDefault="0061147B">
      <w:pPr>
        <w:ind w:firstLine="709"/>
        <w:jc w:val="both"/>
        <w:rPr>
          <w:b/>
          <w:sz w:val="28"/>
          <w:szCs w:val="28"/>
          <w:lang w:eastAsia="ru-RU"/>
        </w:rPr>
      </w:pPr>
    </w:p>
    <w:p w:rsidR="0061147B" w:rsidRDefault="00B30B39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</w:t>
      </w:r>
      <w:r>
        <w:rPr>
          <w:b/>
          <w:sz w:val="28"/>
          <w:szCs w:val="28"/>
        </w:rPr>
        <w:t>Предмет электронного аукциона, место размещения нестационарного торгового объекта, характеристики объекта</w:t>
      </w:r>
      <w:r>
        <w:rPr>
          <w:sz w:val="28"/>
          <w:szCs w:val="28"/>
        </w:rPr>
        <w:t xml:space="preserve"> </w:t>
      </w:r>
    </w:p>
    <w:p w:rsidR="0061147B" w:rsidRDefault="00B30B39">
      <w:pPr>
        <w:pStyle w:val="ConsPlusNormal"/>
        <w:ind w:firstLine="708"/>
        <w:contextualSpacing/>
        <w:jc w:val="both"/>
      </w:pPr>
      <w:r>
        <w:rPr>
          <w:sz w:val="28"/>
          <w:szCs w:val="28"/>
        </w:rPr>
        <w:t xml:space="preserve">Право на заключение договора на размещение сезонного нестационарного торгового объекта на территории города Нефтеюганска с победителем, предложившим наиболее </w:t>
      </w:r>
      <w:r w:rsidRPr="00C640AF">
        <w:rPr>
          <w:sz w:val="28"/>
          <w:szCs w:val="28"/>
        </w:rPr>
        <w:t>высокую цену за размещение 1 квадратного метра нестационарног</w:t>
      </w:r>
      <w:r w:rsidR="00E95C5C" w:rsidRPr="00C640AF">
        <w:rPr>
          <w:sz w:val="28"/>
          <w:szCs w:val="28"/>
        </w:rPr>
        <w:t xml:space="preserve">о торгового объекта </w:t>
      </w:r>
      <w:r w:rsidR="00C640AF">
        <w:rPr>
          <w:sz w:val="28"/>
          <w:szCs w:val="28"/>
        </w:rPr>
        <w:t>за сезон</w:t>
      </w:r>
      <w:r w:rsidRPr="00C640A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либо с единственным участником аукциона, подавшим заявку и соответствующего требованиям к участникам аукциона. </w:t>
      </w:r>
    </w:p>
    <w:p w:rsidR="0061147B" w:rsidRDefault="0061147B">
      <w:pPr>
        <w:spacing w:after="200"/>
        <w:ind w:firstLine="708"/>
        <w:contextualSpacing/>
        <w:jc w:val="both"/>
        <w:rPr>
          <w:rFonts w:ascii="Liberation Serif;Times New Roma" w:hAnsi="Liberation Serif;Times New Roma" w:cs="Liberation Serif;Times New Roma"/>
          <w:b/>
          <w:sz w:val="28"/>
          <w:szCs w:val="28"/>
          <w:lang w:eastAsia="ru-RU"/>
        </w:rPr>
      </w:pPr>
    </w:p>
    <w:p w:rsidR="0061147B" w:rsidRDefault="008F3484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</w:t>
      </w:r>
      <w:r w:rsidR="00E637EA">
        <w:rPr>
          <w:b/>
          <w:sz w:val="28"/>
          <w:szCs w:val="28"/>
          <w:lang w:eastAsia="ru-RU"/>
        </w:rPr>
        <w:t xml:space="preserve">Информация о местах и условиях размещения </w:t>
      </w:r>
      <w:r w:rsidR="00B30B39">
        <w:rPr>
          <w:b/>
          <w:sz w:val="28"/>
          <w:szCs w:val="28"/>
        </w:rPr>
        <w:t>сезонн</w:t>
      </w:r>
      <w:r w:rsidR="00E637EA">
        <w:rPr>
          <w:b/>
          <w:sz w:val="28"/>
          <w:szCs w:val="28"/>
        </w:rPr>
        <w:t xml:space="preserve">ых </w:t>
      </w:r>
      <w:r w:rsidR="00B30B39">
        <w:rPr>
          <w:b/>
          <w:sz w:val="28"/>
          <w:szCs w:val="28"/>
        </w:rPr>
        <w:t>нестационарн</w:t>
      </w:r>
      <w:r w:rsidR="00E637EA">
        <w:rPr>
          <w:b/>
          <w:sz w:val="28"/>
          <w:szCs w:val="28"/>
        </w:rPr>
        <w:t>ых</w:t>
      </w:r>
      <w:r w:rsidR="00B30B39">
        <w:rPr>
          <w:b/>
          <w:sz w:val="28"/>
          <w:szCs w:val="28"/>
        </w:rPr>
        <w:t xml:space="preserve"> торгов</w:t>
      </w:r>
      <w:r w:rsidR="00E637EA">
        <w:rPr>
          <w:b/>
          <w:sz w:val="28"/>
          <w:szCs w:val="28"/>
        </w:rPr>
        <w:t>ых</w:t>
      </w:r>
      <w:r w:rsidR="00B30B39">
        <w:rPr>
          <w:b/>
          <w:sz w:val="28"/>
          <w:szCs w:val="28"/>
        </w:rPr>
        <w:t xml:space="preserve"> объект</w:t>
      </w:r>
      <w:r w:rsidR="00E637EA">
        <w:rPr>
          <w:b/>
          <w:sz w:val="28"/>
          <w:szCs w:val="28"/>
        </w:rPr>
        <w:t>ов</w:t>
      </w:r>
      <w:r w:rsidR="00B30B39">
        <w:rPr>
          <w:b/>
          <w:sz w:val="28"/>
          <w:szCs w:val="28"/>
        </w:rPr>
        <w:t>, ин</w:t>
      </w:r>
      <w:r w:rsidR="00E637EA">
        <w:rPr>
          <w:b/>
          <w:sz w:val="28"/>
          <w:szCs w:val="28"/>
        </w:rPr>
        <w:t>ых</w:t>
      </w:r>
      <w:r w:rsidR="00B30B39">
        <w:rPr>
          <w:b/>
          <w:sz w:val="28"/>
          <w:szCs w:val="28"/>
        </w:rPr>
        <w:t xml:space="preserve"> сезонн</w:t>
      </w:r>
      <w:r w:rsidR="00E637EA">
        <w:rPr>
          <w:b/>
          <w:sz w:val="28"/>
          <w:szCs w:val="28"/>
        </w:rPr>
        <w:t>ых</w:t>
      </w:r>
      <w:r w:rsidR="00B30B39">
        <w:rPr>
          <w:b/>
          <w:sz w:val="28"/>
          <w:szCs w:val="28"/>
        </w:rPr>
        <w:t xml:space="preserve"> объект</w:t>
      </w:r>
      <w:r w:rsidR="00E637EA">
        <w:rPr>
          <w:b/>
          <w:sz w:val="28"/>
          <w:szCs w:val="28"/>
        </w:rPr>
        <w:t>ов</w:t>
      </w:r>
      <w:r w:rsidR="00B30B39">
        <w:rPr>
          <w:b/>
          <w:sz w:val="28"/>
          <w:szCs w:val="28"/>
        </w:rPr>
        <w:t xml:space="preserve"> по оказанию услуг</w:t>
      </w:r>
      <w:r w:rsidR="00B30B39">
        <w:rPr>
          <w:b/>
          <w:sz w:val="28"/>
          <w:szCs w:val="28"/>
          <w:lang w:eastAsia="ru-RU"/>
        </w:rPr>
        <w:t>:</w:t>
      </w:r>
    </w:p>
    <w:p w:rsidR="00E637EA" w:rsidRDefault="00E637EA" w:rsidP="00E637EA">
      <w:pPr>
        <w:jc w:val="both"/>
        <w:rPr>
          <w:sz w:val="28"/>
          <w:szCs w:val="28"/>
          <w:lang w:eastAsia="ru-RU"/>
        </w:rPr>
      </w:pPr>
      <w:r w:rsidRPr="00E637EA">
        <w:rPr>
          <w:b/>
          <w:sz w:val="28"/>
          <w:szCs w:val="28"/>
          <w:lang w:eastAsia="ru-RU"/>
        </w:rPr>
        <w:t>Период размещения:</w:t>
      </w:r>
      <w:r w:rsidRPr="00E637EA">
        <w:rPr>
          <w:sz w:val="28"/>
          <w:szCs w:val="28"/>
          <w:lang w:eastAsia="ru-RU"/>
        </w:rPr>
        <w:t xml:space="preserve"> летний сезон 2025 года (с 01.05.2025 по 30.09.2025)</w:t>
      </w:r>
      <w:r w:rsidR="002540A4">
        <w:rPr>
          <w:sz w:val="28"/>
          <w:szCs w:val="28"/>
          <w:lang w:eastAsia="ru-RU"/>
        </w:rPr>
        <w:t>;</w:t>
      </w:r>
    </w:p>
    <w:p w:rsidR="00E637EA" w:rsidRDefault="00E637EA" w:rsidP="002540A4">
      <w:pPr>
        <w:ind w:right="-144"/>
        <w:jc w:val="both"/>
        <w:rPr>
          <w:sz w:val="28"/>
          <w:szCs w:val="28"/>
          <w:lang w:eastAsia="ru-RU"/>
        </w:rPr>
      </w:pPr>
      <w:r w:rsidRPr="00E637EA">
        <w:rPr>
          <w:b/>
          <w:sz w:val="28"/>
          <w:szCs w:val="28"/>
          <w:lang w:eastAsia="ru-RU"/>
        </w:rPr>
        <w:t>Срок действия договора:</w:t>
      </w:r>
      <w:r w:rsidRPr="00E637EA">
        <w:rPr>
          <w:sz w:val="28"/>
          <w:szCs w:val="28"/>
          <w:lang w:eastAsia="ru-RU"/>
        </w:rPr>
        <w:t xml:space="preserve"> </w:t>
      </w:r>
      <w:r w:rsidR="002540A4">
        <w:rPr>
          <w:sz w:val="28"/>
          <w:szCs w:val="28"/>
          <w:lang w:eastAsia="ru-RU"/>
        </w:rPr>
        <w:t>с</w:t>
      </w:r>
      <w:r w:rsidRPr="00E637EA">
        <w:rPr>
          <w:sz w:val="28"/>
          <w:szCs w:val="28"/>
          <w:lang w:eastAsia="ru-RU"/>
        </w:rPr>
        <w:t xml:space="preserve"> мо</w:t>
      </w:r>
      <w:r w:rsidR="002540A4">
        <w:rPr>
          <w:sz w:val="28"/>
          <w:szCs w:val="28"/>
          <w:lang w:eastAsia="ru-RU"/>
        </w:rPr>
        <w:t>мента заключения договора по 30.09.</w:t>
      </w:r>
      <w:r w:rsidRPr="00E637EA">
        <w:rPr>
          <w:sz w:val="28"/>
          <w:szCs w:val="28"/>
          <w:lang w:eastAsia="ru-RU"/>
        </w:rPr>
        <w:t>2025</w:t>
      </w:r>
      <w:r w:rsidR="002540A4">
        <w:rPr>
          <w:sz w:val="28"/>
          <w:szCs w:val="28"/>
          <w:lang w:eastAsia="ru-RU"/>
        </w:rPr>
        <w:t>.</w:t>
      </w:r>
    </w:p>
    <w:p w:rsidR="0010002B" w:rsidRPr="0010002B" w:rsidRDefault="0010002B" w:rsidP="0010002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Начальная (минимальная) цена </w:t>
      </w:r>
      <w:r w:rsidR="001A01E1">
        <w:rPr>
          <w:rFonts w:eastAsia="Calibri"/>
          <w:b/>
          <w:sz w:val="28"/>
          <w:szCs w:val="28"/>
          <w:lang w:eastAsia="en-US"/>
        </w:rPr>
        <w:t xml:space="preserve">предмета </w:t>
      </w:r>
      <w:r>
        <w:rPr>
          <w:rFonts w:eastAsia="Calibri"/>
          <w:b/>
          <w:sz w:val="28"/>
          <w:szCs w:val="28"/>
          <w:lang w:eastAsia="en-US"/>
        </w:rPr>
        <w:t xml:space="preserve">договора (начальная цена </w:t>
      </w:r>
      <w:r w:rsidR="00E95C5C">
        <w:rPr>
          <w:rFonts w:eastAsia="Calibri"/>
          <w:b/>
          <w:sz w:val="28"/>
          <w:szCs w:val="28"/>
          <w:lang w:eastAsia="en-US"/>
        </w:rPr>
        <w:t xml:space="preserve">лота </w:t>
      </w:r>
      <w:r>
        <w:rPr>
          <w:rFonts w:eastAsia="Calibri"/>
          <w:b/>
          <w:sz w:val="28"/>
          <w:szCs w:val="28"/>
          <w:lang w:eastAsia="en-US"/>
        </w:rPr>
        <w:t>аукциона):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D7D0A" w:rsidRPr="00CD7D0A">
        <w:rPr>
          <w:rFonts w:eastAsia="Calibri"/>
          <w:sz w:val="28"/>
          <w:szCs w:val="28"/>
          <w:lang w:eastAsia="en-US"/>
        </w:rPr>
        <w:t>1 квадратн</w:t>
      </w:r>
      <w:r w:rsidR="00CD7D0A">
        <w:rPr>
          <w:rFonts w:eastAsia="Calibri"/>
          <w:sz w:val="28"/>
          <w:szCs w:val="28"/>
          <w:lang w:eastAsia="en-US"/>
        </w:rPr>
        <w:t>ый</w:t>
      </w:r>
      <w:r w:rsidR="00CD7D0A" w:rsidRPr="00CD7D0A">
        <w:rPr>
          <w:rFonts w:eastAsia="Calibri"/>
          <w:sz w:val="28"/>
          <w:szCs w:val="28"/>
          <w:lang w:eastAsia="en-US"/>
        </w:rPr>
        <w:t xml:space="preserve"> метр нестационарного торгового объекта в сезон</w:t>
      </w:r>
      <w:r>
        <w:rPr>
          <w:rFonts w:eastAsia="Calibri"/>
          <w:sz w:val="28"/>
          <w:szCs w:val="28"/>
          <w:lang w:eastAsia="en-US"/>
        </w:rPr>
        <w:t>.</w:t>
      </w:r>
    </w:p>
    <w:p w:rsidR="002C7562" w:rsidRDefault="00681BDF" w:rsidP="00A379D7">
      <w:pPr>
        <w:contextualSpacing/>
        <w:jc w:val="both"/>
        <w:rPr>
          <w:sz w:val="28"/>
          <w:szCs w:val="28"/>
          <w:lang w:eastAsia="ru-RU"/>
        </w:rPr>
      </w:pPr>
      <w:r>
        <w:rPr>
          <w:rFonts w:ascii="Liberation Serif;Times New Roma" w:hAnsi="Liberation Serif;Times New Roma" w:cs="Liberation Serif;Times New Roma"/>
          <w:b/>
          <w:sz w:val="28"/>
          <w:szCs w:val="28"/>
          <w:lang w:eastAsia="ru-RU"/>
        </w:rPr>
        <w:t xml:space="preserve">Шаг аукциона: </w:t>
      </w:r>
      <w:r w:rsidRPr="00274B78"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 xml:space="preserve">устанавливается в размере </w:t>
      </w:r>
      <w:r w:rsidR="001A01E1"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>10</w:t>
      </w:r>
      <w:r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>%</w:t>
      </w:r>
      <w:r w:rsidRPr="00274B78"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 xml:space="preserve"> от начальной (минимальной) цены предмета договора (начальной (минимальной) цены лота аукциона)</w:t>
      </w:r>
      <w:r w:rsidR="00CD7D0A"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>.</w:t>
      </w:r>
    </w:p>
    <w:p w:rsidR="002C7562" w:rsidRDefault="002C7562" w:rsidP="002540A4">
      <w:pPr>
        <w:ind w:right="-144"/>
        <w:jc w:val="both"/>
        <w:rPr>
          <w:sz w:val="28"/>
          <w:szCs w:val="28"/>
          <w:lang w:eastAsia="ru-RU"/>
        </w:rPr>
      </w:pPr>
    </w:p>
    <w:p w:rsidR="002C7562" w:rsidRDefault="002C7562" w:rsidP="002540A4">
      <w:pPr>
        <w:ind w:right="-144"/>
        <w:jc w:val="both"/>
        <w:rPr>
          <w:sz w:val="28"/>
          <w:szCs w:val="28"/>
          <w:lang w:eastAsia="ru-RU"/>
        </w:rPr>
      </w:pPr>
    </w:p>
    <w:p w:rsidR="002665DB" w:rsidRDefault="002665DB" w:rsidP="002540A4">
      <w:pPr>
        <w:ind w:right="-144"/>
        <w:jc w:val="both"/>
        <w:rPr>
          <w:sz w:val="28"/>
          <w:szCs w:val="28"/>
          <w:lang w:eastAsia="ru-RU"/>
        </w:rPr>
      </w:pPr>
    </w:p>
    <w:p w:rsidR="002C7562" w:rsidRDefault="002C7562" w:rsidP="002540A4">
      <w:pPr>
        <w:ind w:right="-144"/>
        <w:jc w:val="both"/>
        <w:rPr>
          <w:sz w:val="28"/>
          <w:szCs w:val="28"/>
          <w:lang w:eastAsia="ru-RU"/>
        </w:rPr>
      </w:pPr>
    </w:p>
    <w:p w:rsidR="002C7562" w:rsidRPr="00E637EA" w:rsidRDefault="002C7562" w:rsidP="002540A4">
      <w:pPr>
        <w:ind w:right="-144"/>
        <w:jc w:val="both"/>
        <w:rPr>
          <w:sz w:val="28"/>
          <w:szCs w:val="28"/>
          <w:lang w:eastAsia="ru-RU"/>
        </w:rPr>
      </w:pPr>
    </w:p>
    <w:p w:rsidR="00E637EA" w:rsidRDefault="00E637EA">
      <w:pPr>
        <w:ind w:firstLine="709"/>
        <w:jc w:val="both"/>
        <w:rPr>
          <w:b/>
          <w:sz w:val="28"/>
          <w:szCs w:val="28"/>
        </w:rPr>
      </w:pP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1793"/>
        <w:gridCol w:w="1134"/>
        <w:gridCol w:w="1134"/>
        <w:gridCol w:w="1772"/>
        <w:gridCol w:w="1063"/>
        <w:gridCol w:w="1311"/>
        <w:gridCol w:w="1311"/>
      </w:tblGrid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 w:rsidRPr="001F6770">
              <w:rPr>
                <w:b/>
                <w:sz w:val="22"/>
                <w:szCs w:val="22"/>
                <w:lang w:eastAsia="ru-RU"/>
              </w:rPr>
              <w:lastRenderedPageBreak/>
              <w:t>№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>Адрес местонахождения земельного участка, предназначенного для размещения нестационарного торгового объекта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 w:rsidRPr="001F6770">
              <w:rPr>
                <w:b/>
                <w:sz w:val="22"/>
                <w:szCs w:val="22"/>
                <w:lang w:eastAsia="ru-RU"/>
              </w:rPr>
              <w:t xml:space="preserve">Порядковый номер в </w:t>
            </w:r>
            <w:r>
              <w:rPr>
                <w:b/>
                <w:sz w:val="22"/>
                <w:szCs w:val="22"/>
                <w:lang w:eastAsia="ru-RU"/>
              </w:rPr>
              <w:t>Реестре</w:t>
            </w:r>
            <w:r w:rsidRPr="001F6770">
              <w:rPr>
                <w:rStyle w:val="ae"/>
                <w:b/>
                <w:sz w:val="22"/>
                <w:szCs w:val="22"/>
                <w:lang w:eastAsia="ru-RU"/>
              </w:rPr>
              <w:footnoteReference w:id="1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>Площадь нестационарного торгового объекта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земельного участка</w:t>
            </w:r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>кв.м</w:t>
            </w:r>
            <w:proofErr w:type="spellEnd"/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Специализация</w:t>
            </w:r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сезонного </w:t>
            </w:r>
            <w:r w:rsidRPr="001F6770">
              <w:rPr>
                <w:rFonts w:eastAsia="Calibri"/>
                <w:b/>
                <w:sz w:val="22"/>
                <w:szCs w:val="22"/>
                <w:lang w:eastAsia="en-US"/>
              </w:rPr>
              <w:t>нестационарного торгового объекта</w:t>
            </w:r>
          </w:p>
        </w:tc>
        <w:tc>
          <w:tcPr>
            <w:tcW w:w="1063" w:type="dxa"/>
            <w:vAlign w:val="center"/>
          </w:tcPr>
          <w:p w:rsidR="00681BDF" w:rsidRPr="008930F7" w:rsidRDefault="00681BDF" w:rsidP="00CD7D0A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73771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(минимальная) цена договора за размещение </w:t>
            </w:r>
            <w:r w:rsidR="00CD7D0A">
              <w:rPr>
                <w:rFonts w:eastAsia="Calibri"/>
                <w:b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="00CD7D0A">
              <w:rPr>
                <w:rFonts w:eastAsia="Calibri"/>
                <w:b/>
                <w:sz w:val="22"/>
                <w:szCs w:val="22"/>
                <w:lang w:eastAsia="en-US"/>
              </w:rPr>
              <w:t>кв.м</w:t>
            </w:r>
            <w:proofErr w:type="spellEnd"/>
            <w:r w:rsidR="00CD7D0A">
              <w:rPr>
                <w:rFonts w:eastAsia="Calibri"/>
                <w:b/>
                <w:sz w:val="22"/>
                <w:szCs w:val="22"/>
                <w:lang w:eastAsia="en-US"/>
              </w:rPr>
              <w:t>. в сезон</w:t>
            </w:r>
            <w:r w:rsidR="0088729C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b/>
                <w:sz w:val="22"/>
                <w:szCs w:val="22"/>
                <w:lang w:eastAsia="ru-RU"/>
              </w:rPr>
            </w:pPr>
            <w:r w:rsidRPr="008930F7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(минимальная) цена договора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летний сезон</w:t>
            </w:r>
            <w:r w:rsidR="0088729C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311" w:type="dxa"/>
            <w:vAlign w:val="center"/>
          </w:tcPr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88729C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ind w:firstLine="70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F6770">
              <w:rPr>
                <w:sz w:val="22"/>
                <w:szCs w:val="22"/>
              </w:rPr>
              <w:t>ЛЛОТ № 1</w:t>
            </w:r>
          </w:p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8930F7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Ханты-Мансийский автономный округ – Югра, г.Нефтеюганск,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ул.Набережная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в районе причала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A7377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Услуги досуга и развлечения (аттракционы (батуты надувные и спортивные, качели, карусели механического поступательного или вращательного движения))</w:t>
            </w:r>
          </w:p>
        </w:tc>
        <w:tc>
          <w:tcPr>
            <w:tcW w:w="1063" w:type="dxa"/>
            <w:vAlign w:val="center"/>
          </w:tcPr>
          <w:p w:rsidR="00681BDF" w:rsidRPr="00E62C55" w:rsidRDefault="00CD7D0A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1 533,66</w:t>
            </w:r>
          </w:p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153 366,36</w:t>
            </w:r>
          </w:p>
        </w:tc>
        <w:tc>
          <w:tcPr>
            <w:tcW w:w="1311" w:type="dxa"/>
            <w:vAlign w:val="center"/>
          </w:tcPr>
          <w:p w:rsidR="001A01E1" w:rsidRDefault="001A01E1" w:rsidP="001A01E1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F6770">
              <w:rPr>
                <w:sz w:val="22"/>
                <w:szCs w:val="22"/>
              </w:rPr>
              <w:t>ЛОТ № 2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8930F7">
              <w:rPr>
                <w:sz w:val="22"/>
                <w:szCs w:val="22"/>
                <w:lang w:eastAsia="ru-RU"/>
              </w:rPr>
              <w:t xml:space="preserve">Ханты-Мансийский автономный округ – Югра, г.Нефтеюганск, </w:t>
            </w:r>
            <w:proofErr w:type="spellStart"/>
            <w:r>
              <w:rPr>
                <w:sz w:val="22"/>
                <w:szCs w:val="22"/>
                <w:lang w:eastAsia="ru-RU"/>
              </w:rPr>
              <w:t>ул.Набережная</w:t>
            </w:r>
            <w:proofErr w:type="spellEnd"/>
            <w:r>
              <w:rPr>
                <w:sz w:val="22"/>
                <w:szCs w:val="22"/>
                <w:lang w:eastAsia="ru-RU"/>
              </w:rPr>
              <w:t>, в районе причала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2EF5">
              <w:rPr>
                <w:rFonts w:eastAsia="Calibri"/>
                <w:sz w:val="22"/>
                <w:szCs w:val="22"/>
                <w:lang w:eastAsia="en-US"/>
              </w:rPr>
              <w:t>Услуги досуга и развлечения (аттракционы (батуты надувные и спортивные, качели, карусели механического поступательного или вращательного движения))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1 533,66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153 366,36</w:t>
            </w:r>
          </w:p>
        </w:tc>
        <w:tc>
          <w:tcPr>
            <w:tcW w:w="1311" w:type="dxa"/>
            <w:vAlign w:val="center"/>
          </w:tcPr>
          <w:p w:rsidR="00681BDF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F6770">
              <w:rPr>
                <w:sz w:val="22"/>
                <w:szCs w:val="22"/>
              </w:rPr>
              <w:t>ЛОТ № 3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8930F7">
              <w:rPr>
                <w:sz w:val="22"/>
                <w:szCs w:val="22"/>
                <w:lang w:eastAsia="ru-RU"/>
              </w:rPr>
              <w:t>Ханты-Мансийский автономный округ – Югра, г.Нефтеюг</w:t>
            </w:r>
            <w:r>
              <w:rPr>
                <w:sz w:val="22"/>
                <w:szCs w:val="22"/>
                <w:lang w:eastAsia="ru-RU"/>
              </w:rPr>
              <w:t>анск, 3 микрорайон, у дома № 15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ru-RU"/>
              </w:rPr>
              <w:t>Продовольственные товары (безалкогольные напитки)</w:t>
            </w:r>
          </w:p>
        </w:tc>
        <w:tc>
          <w:tcPr>
            <w:tcW w:w="1063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2 556,11</w:t>
            </w:r>
          </w:p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F6770">
              <w:rPr>
                <w:sz w:val="22"/>
                <w:szCs w:val="22"/>
              </w:rPr>
              <w:t>ЛОТ № 4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8930F7">
              <w:rPr>
                <w:sz w:val="22"/>
                <w:szCs w:val="22"/>
                <w:lang w:eastAsia="ru-RU"/>
              </w:rPr>
              <w:t xml:space="preserve">Ханты-Мансийский автономный округ – Югра, г.Нефтеюганск, </w:t>
            </w:r>
            <w:r w:rsidRPr="008930F7">
              <w:rPr>
                <w:sz w:val="22"/>
                <w:szCs w:val="22"/>
                <w:lang w:eastAsia="ru-RU"/>
              </w:rPr>
              <w:lastRenderedPageBreak/>
              <w:t xml:space="preserve">3 микрорайон, у дома № </w:t>
            </w: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A00117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681BDF" w:rsidRPr="008930F7">
              <w:rPr>
                <w:rFonts w:eastAsia="Calibri"/>
                <w:sz w:val="22"/>
                <w:szCs w:val="22"/>
                <w:lang w:eastAsia="en-US"/>
              </w:rPr>
              <w:t xml:space="preserve">родовольственные товары </w:t>
            </w:r>
            <w:r w:rsidR="00681BDF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A00117">
              <w:rPr>
                <w:rFonts w:eastAsia="Calibri"/>
                <w:sz w:val="22"/>
                <w:szCs w:val="22"/>
                <w:lang w:eastAsia="en-US"/>
              </w:rPr>
              <w:t xml:space="preserve">сахаристые изделия, попкорн, </w:t>
            </w:r>
            <w:r w:rsidRPr="00A00117">
              <w:rPr>
                <w:rFonts w:eastAsia="Calibri"/>
                <w:sz w:val="22"/>
                <w:szCs w:val="22"/>
                <w:lang w:eastAsia="en-US"/>
              </w:rPr>
              <w:lastRenderedPageBreak/>
              <w:t>безалкогольные напитки, кондитерские и мучные изделия (в индивидуальной упаковке), мороженое</w:t>
            </w:r>
            <w:r w:rsidR="00681BDF" w:rsidRPr="008930F7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3" w:type="dxa"/>
            <w:vAlign w:val="center"/>
          </w:tcPr>
          <w:p w:rsidR="00681BDF" w:rsidRPr="00A00117" w:rsidRDefault="001A01E1" w:rsidP="001A01E1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A00117">
              <w:rPr>
                <w:sz w:val="22"/>
                <w:szCs w:val="22"/>
                <w:lang w:eastAsia="ru-RU"/>
              </w:rPr>
              <w:lastRenderedPageBreak/>
              <w:t>2 556,11</w:t>
            </w:r>
          </w:p>
        </w:tc>
        <w:tc>
          <w:tcPr>
            <w:tcW w:w="1311" w:type="dxa"/>
            <w:vAlign w:val="center"/>
          </w:tcPr>
          <w:p w:rsidR="00681BDF" w:rsidRPr="00A00117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A00117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A00117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A00117"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</w:rPr>
            </w:pPr>
            <w:r w:rsidRPr="001F6770">
              <w:rPr>
                <w:sz w:val="22"/>
                <w:szCs w:val="22"/>
              </w:rPr>
              <w:lastRenderedPageBreak/>
              <w:t>ЛОТ № 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1F6770" w:rsidRDefault="00681BDF" w:rsidP="002E293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930F7">
              <w:rPr>
                <w:rFonts w:eastAsia="Calibri"/>
                <w:sz w:val="22"/>
                <w:szCs w:val="22"/>
                <w:lang w:eastAsia="en-US"/>
              </w:rPr>
              <w:t>Ханты-Мансийский автономный округ – Югра, г.Н</w:t>
            </w:r>
            <w:r w:rsidR="002E293C">
              <w:rPr>
                <w:rFonts w:eastAsia="Calibri"/>
                <w:sz w:val="22"/>
                <w:szCs w:val="22"/>
                <w:lang w:eastAsia="en-US"/>
              </w:rPr>
              <w:t xml:space="preserve">ефтеюганск, 2 </w:t>
            </w:r>
            <w:proofErr w:type="spellStart"/>
            <w:r w:rsidR="002E293C">
              <w:rPr>
                <w:rFonts w:eastAsia="Calibri"/>
                <w:sz w:val="22"/>
                <w:szCs w:val="22"/>
                <w:lang w:eastAsia="en-US"/>
              </w:rPr>
              <w:t>мкр</w:t>
            </w:r>
            <w:proofErr w:type="spellEnd"/>
            <w:r w:rsidR="002E293C">
              <w:rPr>
                <w:rFonts w:eastAsia="Calibri"/>
                <w:sz w:val="22"/>
                <w:szCs w:val="22"/>
                <w:lang w:eastAsia="en-US"/>
              </w:rPr>
              <w:t>., у здания 24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930F7">
              <w:rPr>
                <w:rFonts w:eastAsia="Calibri"/>
                <w:sz w:val="22"/>
                <w:szCs w:val="22"/>
                <w:lang w:eastAsia="en-US"/>
              </w:rPr>
              <w:t>Непродовольственные товары (шары, игрушки, сувенирная продукция, изделия ручной работы, печатная продукция)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88729C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88335E">
              <w:t xml:space="preserve">ЛОТ № </w:t>
            </w:r>
            <w:r>
              <w:t>6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3B6DA3" w:rsidRDefault="00681BDF" w:rsidP="002E293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B6DA3">
              <w:rPr>
                <w:rFonts w:eastAsia="Calibri"/>
                <w:sz w:val="22"/>
                <w:szCs w:val="22"/>
                <w:lang w:eastAsia="en-US"/>
              </w:rPr>
              <w:t>Ханты-Мансийский автономный округ – Югра, г.</w:t>
            </w:r>
            <w:r w:rsidR="002E293C">
              <w:rPr>
                <w:rFonts w:eastAsia="Calibri"/>
                <w:sz w:val="22"/>
                <w:szCs w:val="22"/>
                <w:lang w:eastAsia="en-US"/>
              </w:rPr>
              <w:t xml:space="preserve">Нефтеюганск, 3 </w:t>
            </w:r>
            <w:proofErr w:type="spellStart"/>
            <w:r w:rsidR="002E293C">
              <w:rPr>
                <w:rFonts w:eastAsia="Calibri"/>
                <w:sz w:val="22"/>
                <w:szCs w:val="22"/>
                <w:lang w:eastAsia="en-US"/>
              </w:rPr>
              <w:t>мкр</w:t>
            </w:r>
            <w:proofErr w:type="spellEnd"/>
            <w:r w:rsidR="002E293C">
              <w:rPr>
                <w:rFonts w:eastAsia="Calibri"/>
                <w:sz w:val="22"/>
                <w:szCs w:val="22"/>
                <w:lang w:eastAsia="en-US"/>
              </w:rPr>
              <w:t>., у дома № 1</w:t>
            </w:r>
          </w:p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8930F7" w:rsidRDefault="00A00117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681BDF" w:rsidRPr="003B6DA3">
              <w:rPr>
                <w:rFonts w:eastAsia="Calibri"/>
                <w:sz w:val="22"/>
                <w:szCs w:val="22"/>
                <w:lang w:eastAsia="en-US"/>
              </w:rPr>
              <w:t>родовольственные товары (сахаристые изделия, попкорн, безалкогольные напитки, кондитерские и мучные изделия (в индивидуальной упаковке), мороженое)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88335E">
              <w:t xml:space="preserve">ЛОТ № </w:t>
            </w:r>
            <w:r>
              <w:t>7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3B6DA3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B6DA3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Ханты-Мансийский автономный округ – Югра, г.Нефтеюганск, 3 </w:t>
            </w:r>
            <w:proofErr w:type="spellStart"/>
            <w:r w:rsidRPr="003B6DA3">
              <w:rPr>
                <w:rFonts w:eastAsia="Calibri"/>
                <w:sz w:val="22"/>
                <w:szCs w:val="22"/>
                <w:lang w:eastAsia="en-US"/>
              </w:rPr>
              <w:t>мкр</w:t>
            </w:r>
            <w:proofErr w:type="spellEnd"/>
            <w:r w:rsidRPr="003B6DA3">
              <w:rPr>
                <w:rFonts w:eastAsia="Calibri"/>
                <w:sz w:val="22"/>
                <w:szCs w:val="22"/>
                <w:lang w:eastAsia="en-US"/>
              </w:rPr>
              <w:t>., у здан</w:t>
            </w:r>
            <w:r>
              <w:rPr>
                <w:rFonts w:eastAsia="Calibri"/>
                <w:sz w:val="22"/>
                <w:szCs w:val="22"/>
                <w:lang w:eastAsia="en-US"/>
              </w:rPr>
              <w:t>ия 24 (бывший кинотеатр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Юган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»)</w:t>
            </w:r>
          </w:p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B6DA3">
              <w:rPr>
                <w:rFonts w:eastAsia="Calibri"/>
                <w:sz w:val="22"/>
                <w:szCs w:val="22"/>
                <w:lang w:eastAsia="en-US"/>
              </w:rPr>
              <w:t>Услуги досуга и развлечения (аттракционы (батуты надувные и спортивные, качели, карусели механического поступательн</w:t>
            </w:r>
            <w:r>
              <w:rPr>
                <w:rFonts w:eastAsia="Calibri"/>
                <w:sz w:val="22"/>
                <w:szCs w:val="22"/>
                <w:lang w:eastAsia="en-US"/>
              </w:rPr>
              <w:t>ого или вращательного движения)</w:t>
            </w:r>
          </w:p>
        </w:tc>
        <w:tc>
          <w:tcPr>
            <w:tcW w:w="1063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1 533,66</w:t>
            </w:r>
          </w:p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46 009,91</w:t>
            </w:r>
          </w:p>
        </w:tc>
        <w:tc>
          <w:tcPr>
            <w:tcW w:w="1311" w:type="dxa"/>
            <w:vAlign w:val="center"/>
          </w:tcPr>
          <w:p w:rsidR="00681BDF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88335E">
              <w:t xml:space="preserve">ЛОТ № </w:t>
            </w:r>
            <w:r>
              <w:t>8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B6DA3">
              <w:rPr>
                <w:rFonts w:eastAsia="Calibri"/>
                <w:sz w:val="22"/>
                <w:szCs w:val="22"/>
                <w:lang w:eastAsia="en-US"/>
              </w:rPr>
              <w:t>Ханты-Мансийский автономный округ – Югра, г.Не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фтеюганск, 16 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мкр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.,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скейтпакр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8930F7" w:rsidRDefault="00A00117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681BDF" w:rsidRPr="003B6DA3">
              <w:rPr>
                <w:rFonts w:eastAsia="Calibri"/>
                <w:sz w:val="22"/>
                <w:szCs w:val="22"/>
                <w:lang w:eastAsia="en-US"/>
              </w:rPr>
              <w:t>родовольственные товары (сахаристые изделия, попкорн, безалкогольные напитки, кондитерские и мучные изделия (в индив</w:t>
            </w:r>
            <w:r w:rsidR="00681BDF">
              <w:rPr>
                <w:rFonts w:eastAsia="Calibri"/>
                <w:sz w:val="22"/>
                <w:szCs w:val="22"/>
                <w:lang w:eastAsia="en-US"/>
              </w:rPr>
              <w:t>идуально</w:t>
            </w:r>
            <w:r w:rsidR="00681BDF">
              <w:rPr>
                <w:rFonts w:eastAsia="Calibri"/>
                <w:sz w:val="22"/>
                <w:szCs w:val="22"/>
                <w:lang w:eastAsia="en-US"/>
              </w:rPr>
              <w:lastRenderedPageBreak/>
              <w:t>й упаковке), мороженое)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lastRenderedPageBreak/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88335E">
              <w:lastRenderedPageBreak/>
              <w:t xml:space="preserve">ЛОТ № </w:t>
            </w:r>
            <w:r>
              <w:t>9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3B6DA3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B6DA3">
              <w:rPr>
                <w:rFonts w:eastAsia="Calibri"/>
                <w:sz w:val="22"/>
                <w:szCs w:val="22"/>
                <w:lang w:eastAsia="en-US"/>
              </w:rPr>
              <w:t>Ханты-Мансийский автономный округ – Югра, г.Нефтеюганск, 16 микрорайон, скейтпарк.</w:t>
            </w:r>
          </w:p>
          <w:p w:rsidR="00681BDF" w:rsidRPr="008930F7" w:rsidRDefault="00681BDF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8930F7" w:rsidRDefault="00A00117" w:rsidP="0088729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681BDF" w:rsidRPr="003B6DA3">
              <w:rPr>
                <w:rFonts w:eastAsia="Calibri"/>
                <w:sz w:val="22"/>
                <w:szCs w:val="22"/>
                <w:lang w:eastAsia="en-US"/>
              </w:rPr>
              <w:t>родовольственные товары (сахаристые изделия, попкорн, безалкогольные напитки, кондитерские и мучные изделия (в индивидуальной упаковке), мороженое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Pr="00C02C6D" w:rsidRDefault="00681BDF" w:rsidP="0088729C">
            <w:pPr>
              <w:jc w:val="center"/>
            </w:pPr>
            <w:r w:rsidRPr="00C02C6D">
              <w:t>ЛОТ № 10</w:t>
            </w:r>
          </w:p>
          <w:p w:rsidR="00681BDF" w:rsidRPr="0088335E" w:rsidRDefault="00681BDF" w:rsidP="0088729C">
            <w:pPr>
              <w:jc w:val="center"/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 w:rsidRPr="00C02C6D">
              <w:t>Ханты-Мансийский автономный округ – Югра, г.Нефтеюганск, 15 микрорайон, напротив ТЦ «Рубин»</w:t>
            </w:r>
          </w:p>
        </w:tc>
        <w:tc>
          <w:tcPr>
            <w:tcW w:w="1134" w:type="dxa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 w:rsidRPr="00C02C6D"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C02C6D" w:rsidRDefault="00A00117" w:rsidP="0088729C">
            <w:pPr>
              <w:contextualSpacing/>
              <w:jc w:val="center"/>
            </w:pPr>
            <w:r>
              <w:t>П</w:t>
            </w:r>
            <w:r w:rsidR="00681BDF" w:rsidRPr="00962EF5">
              <w:t>родовольственные товары (сахаристые изделия, попкорн, безалкогольные напитки, кондитерские и мучные изделия (в индивидуальной упаковке), мороженое)</w:t>
            </w:r>
          </w:p>
        </w:tc>
        <w:tc>
          <w:tcPr>
            <w:tcW w:w="1063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1 533,66</w:t>
            </w:r>
          </w:p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30 673,27</w:t>
            </w:r>
          </w:p>
        </w:tc>
        <w:tc>
          <w:tcPr>
            <w:tcW w:w="1311" w:type="dxa"/>
            <w:vAlign w:val="center"/>
          </w:tcPr>
          <w:p w:rsidR="00681BDF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>
              <w:t>ЛОТ № 11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 w:rsidRPr="00C02C6D">
              <w:t xml:space="preserve">Ханты-Мансийский автономный округ – Югра, г.Нефтеюганск, 12 </w:t>
            </w:r>
            <w:proofErr w:type="spellStart"/>
            <w:r w:rsidRPr="00C02C6D">
              <w:t>мкр</w:t>
            </w:r>
            <w:proofErr w:type="spellEnd"/>
            <w:r w:rsidRPr="00C02C6D">
              <w:t>., у строения 61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>
              <w:t>Бахчевые развалы с п</w:t>
            </w:r>
            <w:r w:rsidRPr="00C02C6D">
              <w:t>родовольственны</w:t>
            </w:r>
            <w:r>
              <w:t>ми</w:t>
            </w:r>
            <w:r w:rsidRPr="00C02C6D">
              <w:t xml:space="preserve"> товар</w:t>
            </w:r>
            <w:r>
              <w:t>ами</w:t>
            </w:r>
            <w:r w:rsidRPr="00C02C6D">
              <w:t xml:space="preserve">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1A01E1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12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 w:rsidRPr="00C02C6D">
              <w:t>Ханты-Мансийский автономный округ – Югра, г.Нефтеюганск, 12 микрорайон, у строения 61</w:t>
            </w:r>
          </w:p>
        </w:tc>
        <w:tc>
          <w:tcPr>
            <w:tcW w:w="1134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C02C6D" w:rsidRDefault="00681BDF" w:rsidP="0088729C">
            <w:pPr>
              <w:contextualSpacing/>
              <w:jc w:val="center"/>
            </w:pPr>
            <w:r w:rsidRPr="00962EF5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A00117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A00117" w:rsidRDefault="00A00117" w:rsidP="00A00117">
            <w:pPr>
              <w:jc w:val="center"/>
            </w:pPr>
            <w:r w:rsidRPr="00AF467F">
              <w:t xml:space="preserve">ЛОТ № </w:t>
            </w:r>
            <w:r>
              <w:t>13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A00117" w:rsidRPr="003B6DA3" w:rsidRDefault="00A00117" w:rsidP="00A0011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2C6D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Ханты-Мансийский автономный округ – Югра, г.Нефтеюганск, 11б </w:t>
            </w:r>
            <w:proofErr w:type="spellStart"/>
            <w:r w:rsidRPr="00C02C6D">
              <w:rPr>
                <w:rFonts w:eastAsia="Calibri"/>
                <w:sz w:val="22"/>
                <w:szCs w:val="22"/>
                <w:lang w:eastAsia="en-US"/>
              </w:rPr>
              <w:t>мкр</w:t>
            </w:r>
            <w:proofErr w:type="spellEnd"/>
            <w:r w:rsidRPr="00C02C6D">
              <w:rPr>
                <w:rFonts w:eastAsia="Calibri"/>
                <w:sz w:val="22"/>
                <w:szCs w:val="22"/>
                <w:lang w:eastAsia="en-US"/>
              </w:rPr>
              <w:t>., вдоль улицы Коммунальной</w:t>
            </w:r>
          </w:p>
        </w:tc>
        <w:tc>
          <w:tcPr>
            <w:tcW w:w="1134" w:type="dxa"/>
            <w:vAlign w:val="center"/>
          </w:tcPr>
          <w:p w:rsidR="00A00117" w:rsidRPr="001F6770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0117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A00117" w:rsidRPr="003B6DA3" w:rsidRDefault="00A00117" w:rsidP="00A0011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2EF5">
              <w:rPr>
                <w:rFonts w:eastAsia="Calibri"/>
                <w:sz w:val="22"/>
                <w:szCs w:val="22"/>
                <w:lang w:eastAsia="en-US"/>
              </w:rPr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A00117" w:rsidRPr="001F6770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1 533,66</w:t>
            </w:r>
          </w:p>
        </w:tc>
        <w:tc>
          <w:tcPr>
            <w:tcW w:w="1311" w:type="dxa"/>
            <w:vAlign w:val="center"/>
          </w:tcPr>
          <w:p w:rsidR="00A00117" w:rsidRPr="001F6770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A00117" w:rsidRPr="00E62C55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A00117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A00117" w:rsidRDefault="00A00117" w:rsidP="00A00117">
            <w:pPr>
              <w:jc w:val="center"/>
            </w:pPr>
            <w:r w:rsidRPr="00AF467F">
              <w:lastRenderedPageBreak/>
              <w:t>ЛОТ №</w:t>
            </w:r>
            <w:r>
              <w:t xml:space="preserve"> 14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A00117" w:rsidRPr="00962EF5" w:rsidRDefault="00A00117" w:rsidP="00A00117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8а </w:t>
            </w:r>
            <w:proofErr w:type="spellStart"/>
            <w:r w:rsidRPr="00962EF5">
              <w:t>мкр</w:t>
            </w:r>
            <w:proofErr w:type="spellEnd"/>
            <w:r w:rsidRPr="00962EF5">
              <w:t>., у ТЦ «Балтика»</w:t>
            </w:r>
          </w:p>
        </w:tc>
        <w:tc>
          <w:tcPr>
            <w:tcW w:w="1134" w:type="dxa"/>
            <w:vAlign w:val="center"/>
          </w:tcPr>
          <w:p w:rsidR="00A00117" w:rsidRPr="00962EF5" w:rsidRDefault="00A00117" w:rsidP="00A00117">
            <w:pPr>
              <w:contextualSpacing/>
              <w:jc w:val="center"/>
            </w:pPr>
            <w:r w:rsidRPr="00962EF5"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0117" w:rsidRPr="00962EF5" w:rsidRDefault="00A00117" w:rsidP="00A00117">
            <w:pPr>
              <w:contextualSpacing/>
              <w:jc w:val="center"/>
            </w:pPr>
            <w: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A00117" w:rsidRPr="00962EF5" w:rsidRDefault="00A00117" w:rsidP="00A00117">
            <w:pPr>
              <w:contextualSpacing/>
              <w:jc w:val="center"/>
            </w:pPr>
            <w:r w:rsidRPr="00F57908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A00117" w:rsidRPr="001F6770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1 533,66</w:t>
            </w:r>
          </w:p>
        </w:tc>
        <w:tc>
          <w:tcPr>
            <w:tcW w:w="1311" w:type="dxa"/>
            <w:vAlign w:val="center"/>
          </w:tcPr>
          <w:p w:rsidR="00A00117" w:rsidRPr="001F6770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A00117" w:rsidRPr="00E62C55" w:rsidRDefault="00A00117" w:rsidP="00A00117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8а </w:t>
            </w:r>
            <w:proofErr w:type="spellStart"/>
            <w:r w:rsidRPr="00962EF5">
              <w:t>мкр</w:t>
            </w:r>
            <w:proofErr w:type="spellEnd"/>
            <w:r w:rsidRPr="00962EF5">
              <w:t>., у ТЦ «Балтика»</w:t>
            </w:r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F57908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1 533,66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16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8а </w:t>
            </w:r>
            <w:proofErr w:type="spellStart"/>
            <w:r w:rsidRPr="00962EF5">
              <w:t>мкр</w:t>
            </w:r>
            <w:proofErr w:type="spellEnd"/>
            <w:r w:rsidRPr="00962EF5">
              <w:t>., у ТЦ «Балтика»</w:t>
            </w:r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F57908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1 533,66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17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8а </w:t>
            </w:r>
            <w:proofErr w:type="spellStart"/>
            <w:r w:rsidRPr="00962EF5">
              <w:t>мкр</w:t>
            </w:r>
            <w:proofErr w:type="spellEnd"/>
            <w:r w:rsidRPr="00962EF5">
              <w:t>., у ТЦ «Балтика»</w:t>
            </w:r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F57908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1 533,66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E62C55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681BDF" w:rsidRPr="00E62C55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18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8а </w:t>
            </w:r>
            <w:proofErr w:type="spellStart"/>
            <w:r w:rsidRPr="00962EF5">
              <w:t>мкр</w:t>
            </w:r>
            <w:proofErr w:type="spellEnd"/>
            <w:r w:rsidRPr="00962EF5">
              <w:t>., у ТЦ «Балтика»</w:t>
            </w:r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20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F57908">
              <w:t>Бахчевые развалы с продовольственными товарами (сезонные овощи и фрукты)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t>1 533,66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333594">
              <w:rPr>
                <w:sz w:val="22"/>
                <w:szCs w:val="22"/>
                <w:lang w:eastAsia="ru-RU"/>
              </w:rPr>
              <w:t>30 673,27</w:t>
            </w:r>
          </w:p>
        </w:tc>
        <w:tc>
          <w:tcPr>
            <w:tcW w:w="1311" w:type="dxa"/>
            <w:vAlign w:val="center"/>
          </w:tcPr>
          <w:p w:rsidR="00681BDF" w:rsidRPr="00333594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153,37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t xml:space="preserve">ЛОТ № </w:t>
            </w:r>
            <w:r>
              <w:t>19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2а </w:t>
            </w:r>
            <w:proofErr w:type="spellStart"/>
            <w:r w:rsidRPr="00962EF5">
              <w:t>мкр</w:t>
            </w:r>
            <w:proofErr w:type="spellEnd"/>
            <w:r w:rsidRPr="00962EF5">
              <w:t xml:space="preserve">., </w:t>
            </w:r>
            <w:proofErr w:type="spellStart"/>
            <w:r w:rsidRPr="00962EF5">
              <w:t>ул.Гагарина</w:t>
            </w:r>
            <w:proofErr w:type="spellEnd"/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10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>Продовольственные товары (сахаристые изделия, попкорн, безалкогольные напитки, кондитерские и мучные изделия (в индивидуальн</w:t>
            </w:r>
            <w:r w:rsidRPr="00962EF5">
              <w:lastRenderedPageBreak/>
              <w:t>ой упаковке), мороженое)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1A01E1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1A01E1">
              <w:rPr>
                <w:sz w:val="22"/>
                <w:szCs w:val="22"/>
                <w:lang w:eastAsia="ru-RU"/>
              </w:rPr>
              <w:lastRenderedPageBreak/>
              <w:t>2 556,11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 w:rsidRPr="00333594">
              <w:rPr>
                <w:sz w:val="22"/>
                <w:szCs w:val="22"/>
                <w:lang w:eastAsia="ru-RU"/>
              </w:rPr>
              <w:t>25 561,06</w:t>
            </w:r>
          </w:p>
        </w:tc>
        <w:tc>
          <w:tcPr>
            <w:tcW w:w="1311" w:type="dxa"/>
            <w:vAlign w:val="center"/>
          </w:tcPr>
          <w:p w:rsidR="00681BDF" w:rsidRPr="00333594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  <w:tr w:rsidR="00681BDF" w:rsidRPr="001F6770" w:rsidTr="0088729C">
        <w:trPr>
          <w:jc w:val="center"/>
        </w:trPr>
        <w:tc>
          <w:tcPr>
            <w:tcW w:w="754" w:type="dxa"/>
            <w:shd w:val="clear" w:color="auto" w:fill="auto"/>
            <w:vAlign w:val="center"/>
          </w:tcPr>
          <w:p w:rsidR="00681BDF" w:rsidRDefault="00681BDF" w:rsidP="0088729C">
            <w:pPr>
              <w:jc w:val="center"/>
            </w:pPr>
            <w:r w:rsidRPr="00AF467F">
              <w:lastRenderedPageBreak/>
              <w:t xml:space="preserve">ЛОТ № </w:t>
            </w:r>
            <w:r>
              <w:t>20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 w:rsidRPr="00962EF5">
              <w:t xml:space="preserve">Ханты-Мансийский автономный округ – Югра, г.Нефтеюганск, 2а </w:t>
            </w:r>
            <w:proofErr w:type="spellStart"/>
            <w:r w:rsidRPr="00962EF5">
              <w:t>мкр</w:t>
            </w:r>
            <w:proofErr w:type="spellEnd"/>
            <w:r w:rsidRPr="00962EF5">
              <w:t>., ул. Гагарина</w:t>
            </w:r>
          </w:p>
        </w:tc>
        <w:tc>
          <w:tcPr>
            <w:tcW w:w="1134" w:type="dxa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BDF" w:rsidRPr="00962EF5" w:rsidRDefault="00681BDF" w:rsidP="0088729C">
            <w:pPr>
              <w:contextualSpacing/>
              <w:jc w:val="center"/>
            </w:pPr>
            <w:r>
              <w:t>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81BDF" w:rsidRPr="00962EF5" w:rsidRDefault="00A00117" w:rsidP="0088729C">
            <w:pPr>
              <w:contextualSpacing/>
              <w:jc w:val="center"/>
            </w:pPr>
            <w:r w:rsidRPr="00A00117">
              <w:t>Продовольственные товары (сахаристые изделия, попкорн, безалкогольные напитки, кондитерские и мучные изделия (в индивидуальной упаковке), мороженое)</w:t>
            </w:r>
          </w:p>
        </w:tc>
        <w:tc>
          <w:tcPr>
            <w:tcW w:w="1063" w:type="dxa"/>
            <w:vAlign w:val="center"/>
          </w:tcPr>
          <w:p w:rsidR="00681BDF" w:rsidRPr="001F6770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2 556,11</w:t>
            </w:r>
          </w:p>
        </w:tc>
        <w:tc>
          <w:tcPr>
            <w:tcW w:w="1311" w:type="dxa"/>
            <w:vAlign w:val="center"/>
          </w:tcPr>
          <w:p w:rsidR="00681BDF" w:rsidRPr="001F6770" w:rsidRDefault="00681BDF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12 780,53</w:t>
            </w:r>
          </w:p>
        </w:tc>
        <w:tc>
          <w:tcPr>
            <w:tcW w:w="1311" w:type="dxa"/>
            <w:vAlign w:val="center"/>
          </w:tcPr>
          <w:p w:rsidR="00681BDF" w:rsidRDefault="001A01E1" w:rsidP="0088729C">
            <w:pPr>
              <w:contextualSpacing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255,61</w:t>
            </w:r>
          </w:p>
        </w:tc>
      </w:tr>
    </w:tbl>
    <w:p w:rsidR="0061147B" w:rsidRDefault="0061147B">
      <w:pPr>
        <w:ind w:firstLine="709"/>
        <w:jc w:val="both"/>
        <w:rPr>
          <w:b/>
          <w:sz w:val="28"/>
          <w:szCs w:val="28"/>
          <w:lang w:eastAsia="ru-RU"/>
        </w:rPr>
      </w:pPr>
    </w:p>
    <w:p w:rsidR="0010002B" w:rsidRDefault="0010002B">
      <w:pPr>
        <w:pStyle w:val="ConsPlusNormal"/>
        <w:ind w:firstLine="708"/>
        <w:contextualSpacing/>
        <w:jc w:val="both"/>
        <w:rPr>
          <w:b/>
          <w:sz w:val="28"/>
          <w:szCs w:val="28"/>
        </w:rPr>
      </w:pPr>
    </w:p>
    <w:p w:rsidR="0061147B" w:rsidRDefault="008F3484">
      <w:pPr>
        <w:pStyle w:val="ConsPlusNormal"/>
        <w:ind w:firstLine="708"/>
        <w:contextualSpacing/>
        <w:jc w:val="both"/>
      </w:pPr>
      <w:r>
        <w:rPr>
          <w:b/>
          <w:sz w:val="28"/>
          <w:szCs w:val="28"/>
        </w:rPr>
        <w:t>4</w:t>
      </w:r>
      <w:r w:rsidR="00B30B39">
        <w:rPr>
          <w:b/>
          <w:sz w:val="28"/>
          <w:szCs w:val="28"/>
        </w:rPr>
        <w:t>.Форма аукциона</w:t>
      </w:r>
    </w:p>
    <w:p w:rsidR="0061147B" w:rsidRDefault="00B30B39">
      <w:pPr>
        <w:pStyle w:val="ConsPlusNormal"/>
        <w:ind w:firstLine="708"/>
        <w:contextualSpacing/>
        <w:jc w:val="both"/>
      </w:pPr>
      <w:r>
        <w:rPr>
          <w:sz w:val="28"/>
          <w:szCs w:val="28"/>
        </w:rPr>
        <w:t>Аукцион проводится в электронной форме и является открытым по составу участников и форме подачи предложений о цене.</w:t>
      </w:r>
    </w:p>
    <w:p w:rsidR="0061147B" w:rsidRDefault="0061147B">
      <w:pPr>
        <w:pStyle w:val="ConsPlusNormal"/>
        <w:ind w:firstLine="708"/>
        <w:contextualSpacing/>
        <w:jc w:val="both"/>
        <w:rPr>
          <w:sz w:val="28"/>
          <w:szCs w:val="28"/>
        </w:rPr>
      </w:pPr>
    </w:p>
    <w:p w:rsidR="0061147B" w:rsidRDefault="008F3484">
      <w:pPr>
        <w:ind w:firstLine="709"/>
        <w:jc w:val="both"/>
      </w:pPr>
      <w:r>
        <w:rPr>
          <w:b/>
          <w:sz w:val="28"/>
          <w:szCs w:val="28"/>
          <w:lang w:eastAsia="ru-RU"/>
        </w:rPr>
        <w:t>5</w:t>
      </w:r>
      <w:r w:rsidR="00B30B39">
        <w:rPr>
          <w:b/>
          <w:sz w:val="28"/>
          <w:szCs w:val="28"/>
          <w:lang w:eastAsia="ru-RU"/>
        </w:rPr>
        <w:t xml:space="preserve">.Оператор электронного аукциона, дата, время проведения электронного аукциона, адрес электронной площадки </w:t>
      </w:r>
    </w:p>
    <w:p w:rsidR="0061147B" w:rsidRDefault="00B30B3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Оператор электронного аукциона – Общество с ограниченной ответственностью «РТС-тендер», ИНН 7710357167, КПП 773001001, ОГРН 1027739521666, местонахождение: 121151, г. Москва, набережная Тараса Шевченко, д. 23А, этаж 25, помещение №1 (далее – Оператор электронного аукциона).</w:t>
      </w:r>
      <w:r>
        <w:rPr>
          <w:bCs/>
          <w:sz w:val="28"/>
          <w:szCs w:val="28"/>
        </w:rPr>
        <w:t xml:space="preserve"> </w:t>
      </w:r>
    </w:p>
    <w:p w:rsidR="0061147B" w:rsidRDefault="00B30B39">
      <w:pPr>
        <w:ind w:firstLine="709"/>
        <w:jc w:val="both"/>
        <w:rPr>
          <w:rFonts w:ascii="Arial" w:hAnsi="Arial" w:cs="Arial"/>
          <w:color w:val="444444"/>
          <w:lang w:eastAsia="ru-RU"/>
        </w:rPr>
      </w:pPr>
      <w:r>
        <w:rPr>
          <w:sz w:val="28"/>
          <w:szCs w:val="28"/>
        </w:rPr>
        <w:t>Номер телефона службы технической поддержки: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+7(499)653-77-00. </w:t>
      </w:r>
    </w:p>
    <w:p w:rsidR="0061147B" w:rsidRDefault="00B30B39">
      <w:pPr>
        <w:pStyle w:val="contactsitem-text"/>
        <w:shd w:val="clear" w:color="auto" w:fill="FFFFFF"/>
        <w:spacing w:before="0" w:after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 для вопросов покупателей о работе на площадке по имущественным торгам: </w:t>
      </w:r>
      <w:hyperlink r:id="rId8" w:tooltip="mailto:iInfo@rts-tender.ru" w:history="1">
        <w:r>
          <w:rPr>
            <w:rStyle w:val="af7"/>
            <w:sz w:val="28"/>
            <w:szCs w:val="28"/>
          </w:rPr>
          <w:t>iInfo@rts-tender.ru</w:t>
        </w:r>
      </w:hyperlink>
      <w:r>
        <w:rPr>
          <w:sz w:val="28"/>
          <w:szCs w:val="28"/>
        </w:rPr>
        <w:t xml:space="preserve">. 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площадка представляет собой программно-аппаратный комплекс, предназначенный для проведения торгов в электронной форме при продаже имущества на сайте в информационно-телекоммуникационной сети «Интернет» (Имущественные торги), отвечающий требованиям законодательства Российской Федерации, предъявляемым к электронным площадкам, используемым для обозначенных выше целей.</w:t>
      </w:r>
    </w:p>
    <w:p w:rsidR="0061147B" w:rsidRDefault="00B30B39">
      <w:pPr>
        <w:tabs>
          <w:tab w:val="left" w:pos="9180"/>
        </w:tabs>
        <w:ind w:firstLine="709"/>
        <w:jc w:val="both"/>
      </w:pPr>
      <w:r>
        <w:rPr>
          <w:sz w:val="28"/>
          <w:szCs w:val="28"/>
        </w:rPr>
        <w:t xml:space="preserve">Электронная площадка «РТС-тендер» Имущественные торги (далее – Электронная площадка) – автоматизированная система, исключительным правом на которую обладает ООО «РТС-тендер», и размещённая на официальном сайте в информационно-телекоммуникационной сети «Интернет» по адресу: </w:t>
      </w:r>
      <w:hyperlink r:id="rId9" w:tooltip="https://www.rts-tender.ru/property-sales" w:history="1">
        <w:r>
          <w:rPr>
            <w:rStyle w:val="af7"/>
            <w:sz w:val="28"/>
            <w:szCs w:val="28"/>
          </w:rPr>
          <w:t>https://www.rts-tender.ru/property-sales</w:t>
        </w:r>
      </w:hyperlink>
      <w:r>
        <w:rPr>
          <w:sz w:val="28"/>
          <w:szCs w:val="28"/>
        </w:rPr>
        <w:t>.</w:t>
      </w:r>
    </w:p>
    <w:p w:rsidR="0061147B" w:rsidRDefault="00B30B39">
      <w:pPr>
        <w:pStyle w:val="ConsPlusNormal"/>
        <w:ind w:firstLine="709"/>
        <w:contextualSpacing/>
        <w:jc w:val="both"/>
      </w:pPr>
      <w:r>
        <w:rPr>
          <w:sz w:val="28"/>
          <w:szCs w:val="28"/>
        </w:rPr>
        <w:t>Дата проведения аукциона для всех лотов: 22.04.2025 года в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10:00 по местному времени.</w:t>
      </w:r>
    </w:p>
    <w:p w:rsidR="0061147B" w:rsidRDefault="0061147B">
      <w:pPr>
        <w:pStyle w:val="ConsPlusNormal"/>
        <w:spacing w:before="220"/>
        <w:ind w:firstLine="709"/>
        <w:contextualSpacing/>
        <w:jc w:val="both"/>
        <w:rPr>
          <w:b/>
          <w:sz w:val="28"/>
          <w:szCs w:val="28"/>
        </w:rPr>
      </w:pPr>
    </w:p>
    <w:p w:rsidR="0061147B" w:rsidRDefault="008F3484">
      <w:pPr>
        <w:pStyle w:val="ConsPlusNormal"/>
        <w:spacing w:before="22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B30B39">
        <w:rPr>
          <w:b/>
          <w:sz w:val="28"/>
          <w:szCs w:val="28"/>
        </w:rPr>
        <w:t>.Порядок проведения электронного аукциона, информация об оформлении участия в электронном аукционе:</w:t>
      </w:r>
    </w:p>
    <w:p w:rsidR="0061147B" w:rsidRDefault="00B30B39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электронном аукционе могут участвовать любые юридические лица независимо от организационно-правовой формы, формы собственности или индивидуальный предприниматель, а также физическое лицо, не являющееся индивидуальным предпринимателем и применяющее специальный налоговый режим «Налог на профессиональный доход» в течение срока проведения эксперимента, установленного Федеральным законом от 27.11.2018 № 422-ФЗ «О проведении эксперимента по установлению специального налогового режима «Налог на профессиональный доход»», претендующие на заключение договора на размещение нестационарного торгового объекта  на территории города Нефтеюганска (далее – договор на размещение) и подавшие заявку на участие в аукционе (далее – Заявка), зарегистрированные и аккредитованные на электронной торговой площадке </w:t>
      </w:r>
      <w:r>
        <w:rPr>
          <w:color w:val="0070C0"/>
          <w:sz w:val="28"/>
          <w:szCs w:val="28"/>
        </w:rPr>
        <w:t>(далее – Заявитель, участник аукциона)</w:t>
      </w:r>
      <w:r>
        <w:rPr>
          <w:sz w:val="28"/>
          <w:szCs w:val="28"/>
        </w:rPr>
        <w:t xml:space="preserve"> в соответствии с Регламентом Электронной площадки (размещен по ссылке https://www.rts-tender.ru/platform-rules/platform-property-sales).</w:t>
      </w:r>
    </w:p>
    <w:p w:rsidR="0061147B" w:rsidRDefault="00B30B39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Порядок работы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его сайте.</w:t>
      </w:r>
    </w:p>
    <w:p w:rsidR="0061147B" w:rsidRDefault="00B30B39">
      <w:pPr>
        <w:pStyle w:val="ConsPlusNormal"/>
        <w:spacing w:before="220"/>
        <w:ind w:firstLine="709"/>
        <w:contextualSpacing/>
        <w:jc w:val="both"/>
      </w:pPr>
      <w:r>
        <w:rPr>
          <w:sz w:val="28"/>
          <w:szCs w:val="28"/>
        </w:rPr>
        <w:t>Аукцион в электронной форме проводится путем повышения начальной (минимальной) цены договора на размещение (цена лота), указанной в настоящем извещении, на «шаг аукциона».</w:t>
      </w:r>
    </w:p>
    <w:p w:rsidR="0061147B" w:rsidRDefault="00B30B39">
      <w:pPr>
        <w:pStyle w:val="ConsPlusNormal"/>
        <w:spacing w:before="220"/>
        <w:ind w:firstLine="709"/>
        <w:contextualSpacing/>
        <w:jc w:val="both"/>
      </w:pPr>
      <w:r>
        <w:rPr>
          <w:sz w:val="28"/>
          <w:szCs w:val="28"/>
        </w:rPr>
        <w:t xml:space="preserve">Процедура подачи предложений о цене проводится в день и </w:t>
      </w:r>
      <w:proofErr w:type="gramStart"/>
      <w:r>
        <w:rPr>
          <w:sz w:val="28"/>
          <w:szCs w:val="28"/>
        </w:rPr>
        <w:t>во время</w:t>
      </w:r>
      <w:proofErr w:type="gramEnd"/>
      <w:r>
        <w:rPr>
          <w:sz w:val="28"/>
          <w:szCs w:val="28"/>
        </w:rPr>
        <w:t>, указанные в извещении о проведении аукциона. Предложение о цене подписывается электронной подписью участника аукциона.</w:t>
      </w:r>
    </w:p>
    <w:p w:rsidR="0061147B" w:rsidRDefault="00B30B39">
      <w:pPr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Порядок и срок подачи предложений о цене при проведении процедуры аукциона определяются оператором электронного аукциона.</w:t>
      </w:r>
      <w:r>
        <w:rPr>
          <w:sz w:val="28"/>
          <w:szCs w:val="28"/>
          <w:lang w:eastAsia="ru-RU"/>
        </w:rPr>
        <w:t xml:space="preserve"> </w:t>
      </w:r>
    </w:p>
    <w:p w:rsidR="0061147B" w:rsidRDefault="00B30B3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Результаты электронного аукциона оформляются протоколом, который подписывается аукционной комиссией не позднее следующего рабочего дня после проведения аукциона.</w:t>
      </w:r>
      <w:r>
        <w:rPr>
          <w:sz w:val="28"/>
          <w:szCs w:val="28"/>
        </w:rPr>
        <w:tab/>
      </w:r>
    </w:p>
    <w:p w:rsidR="0061147B" w:rsidRDefault="00B30B39">
      <w:pPr>
        <w:widowControl w:val="0"/>
        <w:tabs>
          <w:tab w:val="left" w:pos="851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Организатор аукциона вправе отказаться от проведения аукциона в любое время, но не позднее чем за 3 дня до наступления даты его проведения. Извещение об отказе от проведения аукциона размещается на официальном сайте в течение 1 дня со дня принятия решения об отказе от проведения аукциона. </w:t>
      </w:r>
    </w:p>
    <w:p w:rsidR="0061147B" w:rsidRDefault="00B30B39">
      <w:pPr>
        <w:ind w:firstLine="709"/>
        <w:contextualSpacing/>
        <w:jc w:val="both"/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</w:pPr>
      <w:r>
        <w:rPr>
          <w:rFonts w:ascii="Liberation Serif;Times New Roma" w:hAnsi="Liberation Serif;Times New Roma" w:cs="Liberation Serif;Times New Roma"/>
          <w:sz w:val="28"/>
          <w:szCs w:val="28"/>
          <w:lang w:eastAsia="ru-RU"/>
        </w:rPr>
        <w:t>Оператор электронной торговой площадки в течение двух рабочих дней, следующих за днем размещения решения об отказе от проведения электронного аукциона, извещает участника аукциона об отказе от проведения электронного аукциона и в порядке и сроки, установленные Регламентом электронной площадки, производит разблокирование денежных средств, в отношении которых осуществлено блокирование операций по счету участника аукциона.</w:t>
      </w:r>
    </w:p>
    <w:p w:rsidR="0061147B" w:rsidRDefault="0061147B">
      <w:pPr>
        <w:ind w:firstLine="709"/>
        <w:contextualSpacing/>
        <w:jc w:val="both"/>
        <w:rPr>
          <w:rFonts w:ascii="Liberation Serif;Times New Roma" w:hAnsi="Liberation Serif;Times New Roma" w:cs="Liberation Serif;Times New Roma"/>
          <w:b/>
          <w:sz w:val="28"/>
          <w:szCs w:val="28"/>
          <w:lang w:eastAsia="ru-RU"/>
        </w:rPr>
      </w:pPr>
    </w:p>
    <w:p w:rsidR="0061147B" w:rsidRDefault="00B30B39">
      <w:pPr>
        <w:widowControl w:val="0"/>
        <w:tabs>
          <w:tab w:val="left" w:pos="709"/>
        </w:tabs>
        <w:contextualSpacing/>
        <w:jc w:val="both"/>
      </w:pPr>
      <w:r>
        <w:rPr>
          <w:rFonts w:eastAsia="Calibri"/>
          <w:b/>
          <w:sz w:val="28"/>
          <w:szCs w:val="28"/>
          <w:lang w:eastAsia="en-US"/>
        </w:rPr>
        <w:tab/>
      </w:r>
      <w:r w:rsidR="008F3484">
        <w:rPr>
          <w:rFonts w:eastAsia="Calibri"/>
          <w:b/>
          <w:sz w:val="28"/>
          <w:szCs w:val="28"/>
          <w:lang w:eastAsia="en-US"/>
        </w:rPr>
        <w:t>7</w:t>
      </w:r>
      <w:r>
        <w:rPr>
          <w:rFonts w:eastAsia="Calibri"/>
          <w:b/>
          <w:sz w:val="28"/>
          <w:szCs w:val="28"/>
          <w:lang w:eastAsia="en-US"/>
        </w:rPr>
        <w:t xml:space="preserve">.Форма Заявки, порядок ее приема, дата и временя начала и </w:t>
      </w:r>
      <w:r>
        <w:rPr>
          <w:rFonts w:eastAsia="Calibri"/>
          <w:b/>
          <w:sz w:val="28"/>
          <w:szCs w:val="28"/>
          <w:lang w:eastAsia="en-US"/>
        </w:rPr>
        <w:lastRenderedPageBreak/>
        <w:t>окончания приема Заявок; дата окончания срока рассмотрения Заявок.</w:t>
      </w:r>
    </w:p>
    <w:p w:rsidR="0061147B" w:rsidRDefault="00B30B39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Заявки участников аукциона направляются оператору электронной площадки через личный кабинет оператору электронной площадки </w:t>
      </w:r>
      <w:hyperlink r:id="rId10" w:tooltip="https://www.rts-tender.ru/" w:history="1">
        <w:r>
          <w:rPr>
            <w:rStyle w:val="af7"/>
            <w:sz w:val="28"/>
            <w:szCs w:val="28"/>
          </w:rPr>
          <w:t>https://www.rts-tender.ru</w:t>
        </w:r>
      </w:hyperlink>
      <w:r>
        <w:rPr>
          <w:sz w:val="28"/>
          <w:szCs w:val="28"/>
        </w:rPr>
        <w:t xml:space="preserve">  в виде электронного документа по форме, установленной приложением № 1 к Аукционной документации.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</w:pPr>
      <w:r>
        <w:rPr>
          <w:sz w:val="28"/>
          <w:szCs w:val="28"/>
        </w:rPr>
        <w:t xml:space="preserve">Заявка направляется на следующий день после дня размещения на </w:t>
      </w:r>
      <w:r>
        <w:rPr>
          <w:sz w:val="28"/>
        </w:rPr>
        <w:t>официальном сайте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и сайте электронной площадки извещения о проведении аукциона и до даты окончания подачи заявок.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1147B" w:rsidRDefault="00B30B39">
      <w:pPr>
        <w:ind w:firstLine="709"/>
        <w:jc w:val="both"/>
      </w:pPr>
      <w:r>
        <w:rPr>
          <w:sz w:val="28"/>
          <w:szCs w:val="28"/>
        </w:rPr>
        <w:t>Заявка, документы и сведения, представленные Заявителем в составе Заявки, подписываются электронной подписью Заявителя либо представителя Заявителя.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Заявитель вправе отозвать Заявку в любое время до окончания срока приема Заявок.</w:t>
      </w:r>
    </w:p>
    <w:p w:rsidR="0061147B" w:rsidRDefault="00B30B39">
      <w:pPr>
        <w:pStyle w:val="ConsPlusNormal"/>
        <w:ind w:firstLine="708"/>
        <w:contextualSpacing/>
        <w:jc w:val="both"/>
      </w:pPr>
      <w:r>
        <w:rPr>
          <w:sz w:val="28"/>
          <w:szCs w:val="28"/>
        </w:rPr>
        <w:t>Дата и время начала приема заявок: 22.03.2025 в 10 час. 00 мин.</w:t>
      </w:r>
    </w:p>
    <w:p w:rsidR="0061147B" w:rsidRDefault="00B30B39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окончания приема заявок: 1</w:t>
      </w:r>
      <w:r w:rsidR="008255E6">
        <w:rPr>
          <w:sz w:val="28"/>
          <w:szCs w:val="28"/>
        </w:rPr>
        <w:t>6</w:t>
      </w:r>
      <w:r>
        <w:rPr>
          <w:sz w:val="28"/>
          <w:szCs w:val="28"/>
        </w:rPr>
        <w:t>.04.2025 в 23 час. 59 мин.</w:t>
      </w:r>
    </w:p>
    <w:p w:rsidR="0061147B" w:rsidRDefault="00B30B39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окончания рассмотрения заявок: 2</w:t>
      </w:r>
      <w:r w:rsidR="008255E6">
        <w:rPr>
          <w:sz w:val="28"/>
          <w:szCs w:val="28"/>
        </w:rPr>
        <w:t>1</w:t>
      </w:r>
      <w:r>
        <w:rPr>
          <w:sz w:val="28"/>
          <w:szCs w:val="28"/>
        </w:rPr>
        <w:t>.04.2025 в 14 час. 00 мин.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Время указано по местному часовому поясу.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Заявка оператором электронной площадки не принимается в следующих случаях: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а)при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поступлении Заявки по истечении установленного в извещении о проведении аукциона срока приема Заявок;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б)при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отсутствии денежных средств в размере задатка на лицевом счете, открытом Заявителю оператором электронной площадки для учета проведения операций по обеспечению участия в аукционе.</w:t>
      </w:r>
    </w:p>
    <w:p w:rsidR="0061147B" w:rsidRDefault="0061147B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61147B" w:rsidRDefault="008F3484">
      <w:pPr>
        <w:widowControl w:val="0"/>
        <w:tabs>
          <w:tab w:val="left" w:pos="851"/>
        </w:tabs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="00B30B39">
        <w:rPr>
          <w:rFonts w:eastAsia="Calibri"/>
          <w:b/>
          <w:sz w:val="28"/>
          <w:szCs w:val="28"/>
          <w:lang w:eastAsia="en-US"/>
        </w:rPr>
        <w:t>.Требование о внесении задатка, размер задатка, порядок и срок его внесения участниками аукциона и возврата задатка, реквизиты для перечисления задатка</w:t>
      </w:r>
    </w:p>
    <w:p w:rsidR="0061147B" w:rsidRDefault="00B30B39">
      <w:pPr>
        <w:widowControl w:val="0"/>
        <w:tabs>
          <w:tab w:val="left" w:pos="851"/>
        </w:tabs>
        <w:ind w:firstLine="709"/>
        <w:contextualSpacing/>
        <w:jc w:val="both"/>
      </w:pPr>
      <w:r>
        <w:rPr>
          <w:sz w:val="28"/>
          <w:szCs w:val="28"/>
        </w:rPr>
        <w:t>Для выполнения условий об электронном аукционе и допуска к участию в электронном аукционе каждый Заявитель перечисляет задаток на лицевой счет, открытый Заявителю оператором электронной площадки для учета проведения операций по обеспечению участия в аукционе.</w:t>
      </w:r>
    </w:p>
    <w:p w:rsidR="0088729C" w:rsidRDefault="00B30B39">
      <w:pPr>
        <w:widowControl w:val="0"/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вносится заявителями в срок с 21.03.2025 по 14.04.2025 в размере 50% процентов начальной (минимальной) цены договора </w:t>
      </w:r>
      <w:r>
        <w:rPr>
          <w:rFonts w:eastAsia="Calibri"/>
          <w:sz w:val="28"/>
          <w:szCs w:val="28"/>
          <w:lang w:eastAsia="en-US"/>
        </w:rPr>
        <w:t xml:space="preserve">размещения 1 квадратного метра сезонного нестационарного торгового объекта за </w:t>
      </w:r>
      <w:r w:rsidR="003B757E">
        <w:rPr>
          <w:rFonts w:eastAsia="Calibri"/>
          <w:sz w:val="28"/>
          <w:szCs w:val="28"/>
          <w:lang w:eastAsia="en-US"/>
        </w:rPr>
        <w:t xml:space="preserve">весь летний </w:t>
      </w:r>
      <w:r w:rsidR="0088729C">
        <w:rPr>
          <w:rFonts w:eastAsia="Calibri"/>
          <w:sz w:val="28"/>
          <w:szCs w:val="28"/>
          <w:lang w:eastAsia="en-US"/>
        </w:rPr>
        <w:t>сезон размещения</w:t>
      </w:r>
      <w:r>
        <w:rPr>
          <w:sz w:val="28"/>
          <w:szCs w:val="28"/>
        </w:rPr>
        <w:t xml:space="preserve"> (начальной цены </w:t>
      </w:r>
      <w:r w:rsidR="003B757E">
        <w:rPr>
          <w:sz w:val="28"/>
          <w:szCs w:val="28"/>
        </w:rPr>
        <w:t xml:space="preserve">лота </w:t>
      </w:r>
      <w:r>
        <w:rPr>
          <w:sz w:val="28"/>
          <w:szCs w:val="28"/>
        </w:rPr>
        <w:t>аукциона), что составляет</w:t>
      </w:r>
      <w:r w:rsidR="0088729C">
        <w:rPr>
          <w:sz w:val="28"/>
          <w:szCs w:val="28"/>
        </w:rPr>
        <w:t>:</w:t>
      </w:r>
    </w:p>
    <w:p w:rsidR="0088729C" w:rsidRDefault="0088729C">
      <w:pPr>
        <w:widowControl w:val="0"/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15E3">
        <w:rPr>
          <w:sz w:val="28"/>
          <w:szCs w:val="28"/>
        </w:rPr>
        <w:t>766</w:t>
      </w:r>
      <w:r w:rsidR="00B30B39">
        <w:rPr>
          <w:sz w:val="28"/>
          <w:szCs w:val="28"/>
        </w:rPr>
        <w:t xml:space="preserve"> (</w:t>
      </w:r>
      <w:r w:rsidR="003515E3">
        <w:rPr>
          <w:sz w:val="28"/>
          <w:szCs w:val="28"/>
        </w:rPr>
        <w:t>семьсот шестьдесят шесть</w:t>
      </w:r>
      <w:r w:rsidR="00B30B39">
        <w:rPr>
          <w:sz w:val="28"/>
          <w:szCs w:val="28"/>
        </w:rPr>
        <w:t>) рубл</w:t>
      </w:r>
      <w:r w:rsidR="003515E3">
        <w:rPr>
          <w:sz w:val="28"/>
          <w:szCs w:val="28"/>
        </w:rPr>
        <w:t>ей</w:t>
      </w:r>
      <w:r w:rsidR="00B30B39">
        <w:rPr>
          <w:sz w:val="28"/>
          <w:szCs w:val="28"/>
        </w:rPr>
        <w:t xml:space="preserve"> </w:t>
      </w:r>
      <w:r w:rsidR="003515E3">
        <w:rPr>
          <w:sz w:val="28"/>
          <w:szCs w:val="28"/>
        </w:rPr>
        <w:t>83</w:t>
      </w:r>
      <w:r w:rsidR="00B30B39">
        <w:rPr>
          <w:sz w:val="28"/>
          <w:szCs w:val="28"/>
        </w:rPr>
        <w:t xml:space="preserve"> коп</w:t>
      </w:r>
      <w:r w:rsidR="003515E3">
        <w:rPr>
          <w:sz w:val="28"/>
          <w:szCs w:val="28"/>
        </w:rPr>
        <w:t>ейки</w:t>
      </w:r>
      <w:r w:rsidR="00B30B39">
        <w:rPr>
          <w:sz w:val="28"/>
          <w:szCs w:val="28"/>
        </w:rPr>
        <w:t xml:space="preserve"> для </w:t>
      </w:r>
      <w:proofErr w:type="spellStart"/>
      <w:r w:rsidR="00B30B39">
        <w:rPr>
          <w:sz w:val="28"/>
          <w:szCs w:val="28"/>
        </w:rPr>
        <w:t>ЛОТов</w:t>
      </w:r>
      <w:proofErr w:type="spellEnd"/>
      <w:r w:rsidR="00B30B39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="003B757E">
        <w:rPr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 w:rsidR="003B7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7, 10, </w:t>
      </w:r>
      <w:r w:rsidR="000B7C62">
        <w:rPr>
          <w:sz w:val="28"/>
          <w:szCs w:val="28"/>
        </w:rPr>
        <w:t>13</w:t>
      </w:r>
      <w:r>
        <w:rPr>
          <w:sz w:val="28"/>
          <w:szCs w:val="28"/>
        </w:rPr>
        <w:t>-18;</w:t>
      </w:r>
      <w:r w:rsidR="00B30B39">
        <w:rPr>
          <w:sz w:val="28"/>
          <w:szCs w:val="28"/>
        </w:rPr>
        <w:t xml:space="preserve"> </w:t>
      </w:r>
    </w:p>
    <w:p w:rsidR="0061147B" w:rsidRDefault="003515E3">
      <w:pPr>
        <w:widowControl w:val="0"/>
        <w:tabs>
          <w:tab w:val="left" w:pos="851"/>
        </w:tabs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-1 278</w:t>
      </w:r>
      <w:r w:rsidR="0088729C">
        <w:rPr>
          <w:sz w:val="28"/>
          <w:szCs w:val="28"/>
          <w:lang w:eastAsia="ru-RU"/>
        </w:rPr>
        <w:t xml:space="preserve"> </w:t>
      </w:r>
      <w:r w:rsidR="00B30B39">
        <w:rPr>
          <w:sz w:val="28"/>
          <w:szCs w:val="28"/>
          <w:lang w:eastAsia="ru-RU"/>
        </w:rPr>
        <w:t>(</w:t>
      </w:r>
      <w:r>
        <w:rPr>
          <w:sz w:val="28"/>
          <w:szCs w:val="28"/>
          <w:lang w:eastAsia="ru-RU"/>
        </w:rPr>
        <w:t>одн</w:t>
      </w:r>
      <w:r w:rsidR="00645739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тысяча двести семьдесят восемь</w:t>
      </w:r>
      <w:r w:rsidR="00B30B39">
        <w:rPr>
          <w:sz w:val="28"/>
          <w:szCs w:val="28"/>
          <w:lang w:eastAsia="ru-RU"/>
        </w:rPr>
        <w:t xml:space="preserve">) рублей </w:t>
      </w:r>
      <w:r>
        <w:rPr>
          <w:sz w:val="28"/>
          <w:szCs w:val="28"/>
          <w:lang w:eastAsia="ru-RU"/>
        </w:rPr>
        <w:t>05</w:t>
      </w:r>
      <w:r w:rsidR="00B30B39">
        <w:rPr>
          <w:sz w:val="28"/>
          <w:szCs w:val="28"/>
          <w:lang w:eastAsia="ru-RU"/>
        </w:rPr>
        <w:t xml:space="preserve"> копеек для </w:t>
      </w:r>
      <w:proofErr w:type="spellStart"/>
      <w:r w:rsidR="00B30B39">
        <w:rPr>
          <w:sz w:val="28"/>
          <w:szCs w:val="28"/>
          <w:lang w:eastAsia="ru-RU"/>
        </w:rPr>
        <w:t>ЛОТов</w:t>
      </w:r>
      <w:proofErr w:type="spellEnd"/>
      <w:r w:rsidR="00B30B39">
        <w:rPr>
          <w:sz w:val="28"/>
          <w:szCs w:val="28"/>
          <w:lang w:eastAsia="ru-RU"/>
        </w:rPr>
        <w:t xml:space="preserve"> 3</w:t>
      </w:r>
      <w:r w:rsidR="0088729C">
        <w:rPr>
          <w:sz w:val="28"/>
          <w:szCs w:val="28"/>
          <w:lang w:eastAsia="ru-RU"/>
        </w:rPr>
        <w:t>-6, 8</w:t>
      </w:r>
      <w:bookmarkStart w:id="0" w:name="_GoBack"/>
      <w:bookmarkEnd w:id="0"/>
      <w:r w:rsidR="0088729C">
        <w:rPr>
          <w:sz w:val="28"/>
          <w:szCs w:val="28"/>
          <w:lang w:eastAsia="ru-RU"/>
        </w:rPr>
        <w:t>,</w:t>
      </w:r>
      <w:r w:rsidR="003B757E">
        <w:rPr>
          <w:sz w:val="28"/>
          <w:szCs w:val="28"/>
          <w:lang w:eastAsia="ru-RU"/>
        </w:rPr>
        <w:t xml:space="preserve"> </w:t>
      </w:r>
      <w:r w:rsidR="000B7C62">
        <w:rPr>
          <w:sz w:val="28"/>
          <w:szCs w:val="28"/>
          <w:lang w:eastAsia="ru-RU"/>
        </w:rPr>
        <w:t>9, 11, 12</w:t>
      </w:r>
      <w:r w:rsidR="0088729C">
        <w:rPr>
          <w:sz w:val="28"/>
          <w:szCs w:val="28"/>
          <w:lang w:eastAsia="ru-RU"/>
        </w:rPr>
        <w:t>,</w:t>
      </w:r>
      <w:r w:rsidR="003B757E">
        <w:rPr>
          <w:sz w:val="28"/>
          <w:szCs w:val="28"/>
          <w:lang w:eastAsia="ru-RU"/>
        </w:rPr>
        <w:t xml:space="preserve"> 19,</w:t>
      </w:r>
      <w:r w:rsidR="00B30B39">
        <w:rPr>
          <w:sz w:val="28"/>
          <w:szCs w:val="28"/>
          <w:lang w:eastAsia="ru-RU"/>
        </w:rPr>
        <w:t xml:space="preserve"> 20.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Назначение платежа: задаток для участия в аукционе на право заключения договора на размещение нестационарного торгового объекта.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Сумма внесенного задатка за участие в электронном аукционе засчитывается в качестве первого платежа за размещение сезонного нестационарного торгового объекта.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Оператор электронной торговой площадки в течение двух рабочих дней, следующих за днем размещения решения об отказе от проведения электронного аукциона, извещает участника аукциона об отказе от проведения электронного аукциона и в порядке и сроки, установленные Регламентом электронной площадки, производит разблокирование денежных средств, в отношении которых осуществлено блокирование операций по счету участника аукциона.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Задаток подлежит возврату в течение 5 рабочих дней в случаях: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-принятия Организатором аукциона решения об отказе в проведении аукциона. Возврат задатка исчисляется со дня принятия такого решения;</w:t>
      </w:r>
    </w:p>
    <w:p w:rsidR="0061147B" w:rsidRDefault="00B30B3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>
        <w:rPr>
          <w:rFonts w:eastAsia="Calibri"/>
          <w:sz w:val="28"/>
          <w:szCs w:val="28"/>
          <w:lang w:eastAsia="en-US"/>
        </w:rPr>
        <w:t>отзыва Заявки Заявителем в любое время до установленных даты и времени окончания срока подачи заявок на участие в аукционе. Возврат задатка с даты поступления организатору аукциона уведомления об отзыве заявки на участие в аукционе.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Для обеспечения возврата задатка необходимо в Заявке указать банковские </w:t>
      </w:r>
      <w:r>
        <w:rPr>
          <w:sz w:val="28"/>
          <w:szCs w:val="28"/>
        </w:rPr>
        <w:t>реквизиты счета.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Задаток не возвращается в случаях: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-уклонения (отказа) от заключения договора на размещение победителем аукциона; 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-уклонения (отказа) участника аукциона от заключения договора на размещение если один участник аукциона в электронной форме, если указанный участник является одновременно победителем аукциона и участником аукциона, сделавшим предпоследнее предложение о цене договора.</w:t>
      </w:r>
    </w:p>
    <w:p w:rsidR="0061147B" w:rsidRDefault="0061147B">
      <w:pPr>
        <w:widowControl w:val="0"/>
        <w:tabs>
          <w:tab w:val="left" w:pos="709"/>
        </w:tabs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61147B" w:rsidRDefault="008F3484" w:rsidP="0089542A">
      <w:pPr>
        <w:ind w:firstLine="709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9</w:t>
      </w:r>
      <w:r w:rsidR="00B30B39">
        <w:rPr>
          <w:rFonts w:eastAsia="Calibri"/>
          <w:b/>
          <w:sz w:val="28"/>
          <w:szCs w:val="28"/>
          <w:lang w:eastAsia="en-US"/>
        </w:rPr>
        <w:t>.С</w:t>
      </w:r>
      <w:r w:rsidR="00B30B39">
        <w:rPr>
          <w:b/>
          <w:sz w:val="28"/>
          <w:szCs w:val="28"/>
        </w:rPr>
        <w:t>рок, в течение которого победитель аукциона или единственный участник аукциона обязан заключить договор</w:t>
      </w:r>
      <w:r w:rsidR="00B30B39">
        <w:rPr>
          <w:b/>
        </w:rPr>
        <w:t xml:space="preserve"> </w:t>
      </w:r>
      <w:r w:rsidR="00B30B39">
        <w:rPr>
          <w:b/>
          <w:sz w:val="28"/>
          <w:szCs w:val="28"/>
        </w:rPr>
        <w:t>на размещение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договора на размещение осуществляется в порядке, предусмотренном Гражданским кодексом Российской Федерации и иными федеральными законами. </w:t>
      </w:r>
    </w:p>
    <w:p w:rsidR="0061147B" w:rsidRDefault="00B30B39">
      <w:pPr>
        <w:ind w:firstLine="709"/>
        <w:jc w:val="both"/>
      </w:pPr>
      <w:r>
        <w:rPr>
          <w:sz w:val="28"/>
          <w:szCs w:val="28"/>
        </w:rPr>
        <w:t xml:space="preserve">Организатор аукциона в течение 5 рабочих дней со дня размещения на электронной площадке протокола о результатах аукциона либо со дня размещения на электронной площадке протокола рассмотрения заявок на участие в аукционе (в случае, если аукцион признан несостоявшимся и только один Заявитель признан участником аукциона), направляет победителю аукциона или единственному принявшему участие в аукционе его участнику подписанный проект договора на размещение нестационарного торгового объекта и (или) объекта оказания услуг. 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Победитель аукциона или единственный участник принявший участие в аукционе, подписывает договор на размещение в течение 5 рабочих дней.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Договор на размещение может быть заключен не ранее, чем через 10 дней с даты размещения на электронной площадке протокола о результатах аукциона.</w:t>
      </w:r>
    </w:p>
    <w:p w:rsidR="0061147B" w:rsidRDefault="0061147B">
      <w:pPr>
        <w:ind w:firstLine="709"/>
        <w:rPr>
          <w:sz w:val="28"/>
          <w:szCs w:val="28"/>
        </w:rPr>
      </w:pPr>
    </w:p>
    <w:p w:rsidR="0061147B" w:rsidRDefault="008F3484">
      <w:pPr>
        <w:ind w:firstLine="709"/>
      </w:pPr>
      <w:r>
        <w:rPr>
          <w:b/>
          <w:sz w:val="28"/>
          <w:szCs w:val="28"/>
        </w:rPr>
        <w:t>10</w:t>
      </w:r>
      <w:r w:rsidR="00B30B39">
        <w:rPr>
          <w:b/>
          <w:sz w:val="28"/>
          <w:szCs w:val="28"/>
        </w:rPr>
        <w:t>.Срок действия и условия договора</w:t>
      </w:r>
      <w:r w:rsidR="00B30B39">
        <w:rPr>
          <w:b/>
        </w:rPr>
        <w:t xml:space="preserve"> </w:t>
      </w:r>
      <w:r w:rsidR="00B30B39">
        <w:rPr>
          <w:b/>
          <w:sz w:val="28"/>
          <w:szCs w:val="28"/>
        </w:rPr>
        <w:t>на размещение, заключаемого по результатам аукциона</w:t>
      </w:r>
    </w:p>
    <w:p w:rsidR="0061147B" w:rsidRDefault="00B30B39">
      <w:pPr>
        <w:ind w:firstLine="709"/>
        <w:jc w:val="both"/>
      </w:pPr>
      <w:r>
        <w:rPr>
          <w:sz w:val="28"/>
          <w:szCs w:val="28"/>
        </w:rPr>
        <w:t>Порядок и условия заключения договора на размещение с участником аукциона являются условиями публичной оферты, а подача Заявки является акцептом такой оферты в соответствии со статьей 438 Гражданского кодекса Российской Федерации.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 на размещение заключается на условиях, указанных в поданной участником аукциона, с которым заключается договор на размещение, Заявке и в аукционной документации.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размещения нестационарного торгового объекта в соответствии с утвержденной схемой размещения является договор на размещение, заключенный между администрацией города Нефтеюганска и участником аукциона, по форме согласно приложению № 2 к Аукционной документации.</w:t>
      </w:r>
    </w:p>
    <w:p w:rsidR="0061147B" w:rsidRDefault="00B30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 на размещение нестационарного торгового объекта на территории города Нефтеюганска: с момента заключения договора по 30 сентября 2025 года.</w:t>
      </w:r>
    </w:p>
    <w:p w:rsidR="0061147B" w:rsidRDefault="0061147B">
      <w:pPr>
        <w:ind w:firstLine="709"/>
        <w:rPr>
          <w:sz w:val="28"/>
          <w:szCs w:val="28"/>
        </w:rPr>
      </w:pPr>
    </w:p>
    <w:p w:rsidR="0061147B" w:rsidRDefault="00B30B39">
      <w:pPr>
        <w:ind w:firstLine="709"/>
      </w:pPr>
      <w:r>
        <w:rPr>
          <w:b/>
          <w:sz w:val="28"/>
          <w:szCs w:val="28"/>
        </w:rPr>
        <w:t>1</w:t>
      </w:r>
      <w:r w:rsidR="008F348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.Порядок определения лица, выигравшего аукцион</w:t>
      </w:r>
    </w:p>
    <w:p w:rsidR="0061147B" w:rsidRDefault="00B30B39">
      <w:pPr>
        <w:ind w:firstLine="709"/>
        <w:jc w:val="both"/>
      </w:pPr>
      <w:r>
        <w:rPr>
          <w:sz w:val="28"/>
          <w:szCs w:val="28"/>
          <w:lang w:eastAsia="ru-RU"/>
        </w:rPr>
        <w:t xml:space="preserve">Победителем аукциона признается лицо, предложившее наиболее высокую цену </w:t>
      </w:r>
      <w:r>
        <w:rPr>
          <w:sz w:val="28"/>
          <w:szCs w:val="28"/>
        </w:rPr>
        <w:t>за размещение 1 квадратного метра сезонного нестационарного торгового объекта в год, либо с единственным участником аукциона, подавшим заявку на участие в электронном аукционе.</w:t>
      </w:r>
    </w:p>
    <w:p w:rsidR="0061147B" w:rsidRDefault="00B30B3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</w:p>
    <w:p w:rsidR="0061147B" w:rsidRDefault="00B30B3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уклонении победителя аукциона от заключения договора на размещение либо в случае отказа от заключения договора на размещение с победителем аукциона договор на размещение заключается между администрацией города Нефтеюганска и участником аукциона, Заявке которого присвоен второй номер.</w:t>
      </w:r>
    </w:p>
    <w:p w:rsidR="0061147B" w:rsidRDefault="0061147B">
      <w:pPr>
        <w:widowControl w:val="0"/>
        <w:contextualSpacing/>
        <w:jc w:val="both"/>
        <w:rPr>
          <w:sz w:val="28"/>
          <w:szCs w:val="28"/>
          <w:lang w:eastAsia="ru-RU"/>
        </w:rPr>
      </w:pP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</w:pPr>
      <w:r>
        <w:rPr>
          <w:rFonts w:eastAsia="Calibri"/>
          <w:b/>
          <w:sz w:val="28"/>
          <w:szCs w:val="28"/>
          <w:lang w:eastAsia="en-US"/>
        </w:rPr>
        <w:t>1</w:t>
      </w:r>
      <w:r w:rsidR="008F3484">
        <w:rPr>
          <w:rFonts w:eastAsia="Calibri"/>
          <w:b/>
          <w:sz w:val="28"/>
          <w:szCs w:val="28"/>
          <w:lang w:eastAsia="en-US"/>
        </w:rPr>
        <w:t>2</w:t>
      </w:r>
      <w:r>
        <w:rPr>
          <w:rFonts w:eastAsia="Calibri"/>
          <w:b/>
          <w:sz w:val="28"/>
          <w:szCs w:val="28"/>
          <w:lang w:eastAsia="en-US"/>
        </w:rPr>
        <w:t>.Срок, место и порядок предоставления документации об аукционе, электронный адрес сайта в сети Интернет, на котором размещена документация об аукционе</w:t>
      </w:r>
    </w:p>
    <w:p w:rsidR="0061147B" w:rsidRDefault="00B30B39">
      <w:pPr>
        <w:widowControl w:val="0"/>
        <w:tabs>
          <w:tab w:val="left" w:pos="709"/>
        </w:tabs>
        <w:ind w:firstLine="709"/>
        <w:contextualSpacing/>
        <w:jc w:val="both"/>
      </w:pPr>
      <w:r>
        <w:rPr>
          <w:rFonts w:eastAsia="Calibri"/>
          <w:sz w:val="28"/>
          <w:szCs w:val="28"/>
          <w:lang w:eastAsia="en-US"/>
        </w:rPr>
        <w:t xml:space="preserve">Аукционная документация размещена на официальном сайте органов местного самоуправления города Нефтеюганска www.admugansk.ru в разделе «Деятельность», «Потребительский рынок», в подразделе «Аукционы», на электронно-цифровой площадке Оператора электронного аукциона https://www.rts-tender.ru. Аукционная документация доступна для </w:t>
      </w:r>
      <w:r>
        <w:rPr>
          <w:rFonts w:eastAsia="Calibri"/>
          <w:sz w:val="28"/>
          <w:szCs w:val="28"/>
          <w:lang w:eastAsia="en-US"/>
        </w:rPr>
        <w:lastRenderedPageBreak/>
        <w:t>ознакомления без взимания платы.</w:t>
      </w:r>
    </w:p>
    <w:p w:rsidR="0061147B" w:rsidRDefault="00B30B39" w:rsidP="0051000B">
      <w:pPr>
        <w:widowControl w:val="0"/>
        <w:tabs>
          <w:tab w:val="left" w:pos="709"/>
        </w:tabs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течение двух рабочих дней, следующих за датой поступления, от оператора электронной торговой площадки запроса организатор аукциона размещает разъяснение положений аукционной документации с указанием предмета запроса, но без указания обратившегося лица при условии, что указанный запрос поступил организатору аукциона не позднее, чем за пять рабочих дней до дня окончания подачи Заявок, т.е. до 0</w:t>
      </w:r>
      <w:r w:rsidR="008255E6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>.04.2025.</w:t>
      </w:r>
    </w:p>
    <w:p w:rsidR="0061147B" w:rsidRDefault="00B30B39">
      <w:pPr>
        <w:pStyle w:val="ConsPlusNormal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1147B">
      <w:headerReference w:type="default" r:id="rId11"/>
      <w:headerReference w:type="first" r:id="rId12"/>
      <w:pgSz w:w="11906" w:h="16838"/>
      <w:pgMar w:top="1134" w:right="851" w:bottom="1134" w:left="1701" w:header="72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6BB" w:rsidRDefault="003946BB">
      <w:r>
        <w:separator/>
      </w:r>
    </w:p>
  </w:endnote>
  <w:endnote w:type="continuationSeparator" w:id="0">
    <w:p w:rsidR="003946BB" w:rsidRDefault="0039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charset w:val="00"/>
    <w:family w:val="auto"/>
    <w:pitch w:val="default"/>
  </w:font>
  <w:font w:name="Noto Sans CJK SC Regular">
    <w:charset w:val="00"/>
    <w:family w:val="auto"/>
    <w:pitch w:val="default"/>
  </w:font>
  <w:font w:name="Lohit Devanagari;Times New Rom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;ＭＳ 明朝">
    <w:charset w:val="00"/>
    <w:family w:val="auto"/>
    <w:pitch w:val="default"/>
  </w:font>
  <w:font w:name="Franklin Gothic Book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6BB" w:rsidRDefault="003946BB">
      <w:r>
        <w:separator/>
      </w:r>
    </w:p>
  </w:footnote>
  <w:footnote w:type="continuationSeparator" w:id="0">
    <w:p w:rsidR="003946BB" w:rsidRDefault="003946BB">
      <w:r>
        <w:continuationSeparator/>
      </w:r>
    </w:p>
  </w:footnote>
  <w:footnote w:id="1">
    <w:p w:rsidR="00681BDF" w:rsidRPr="00962EF5" w:rsidRDefault="00681BDF" w:rsidP="00681BDF">
      <w:pPr>
        <w:pStyle w:val="ad"/>
      </w:pPr>
      <w:r>
        <w:rPr>
          <w:rStyle w:val="ae"/>
        </w:rPr>
        <w:footnoteRef/>
      </w:r>
      <w:r>
        <w:t xml:space="preserve"> - </w:t>
      </w:r>
      <w:r w:rsidRPr="00962EF5">
        <w:t>номер Сезонного объекта в Реестре мест для размещения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года, утвержденном постановлением администрации города Нефтеюганска от 11.03.2025 № 272-п «Об утверждении Реестра мест для размещения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39" w:rsidRDefault="00B30B39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0B7C62">
      <w:rPr>
        <w:noProof/>
      </w:rPr>
      <w:t>11</w:t>
    </w:r>
    <w:r>
      <w:fldChar w:fldCharType="end"/>
    </w:r>
  </w:p>
  <w:p w:rsidR="00B30B39" w:rsidRDefault="00B30B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39" w:rsidRDefault="00B30B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47A7D"/>
    <w:multiLevelType w:val="hybridMultilevel"/>
    <w:tmpl w:val="C3CAD7D2"/>
    <w:lvl w:ilvl="0" w:tplc="1A4AE3E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962E66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7C08E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F866D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77213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C6E20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0D004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94874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C18B9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7B"/>
    <w:rsid w:val="00033B06"/>
    <w:rsid w:val="00080F43"/>
    <w:rsid w:val="000B7C62"/>
    <w:rsid w:val="000C2F2A"/>
    <w:rsid w:val="0010002B"/>
    <w:rsid w:val="001A01E1"/>
    <w:rsid w:val="00246916"/>
    <w:rsid w:val="002540A4"/>
    <w:rsid w:val="002665DB"/>
    <w:rsid w:val="002747D4"/>
    <w:rsid w:val="00274B78"/>
    <w:rsid w:val="002961A1"/>
    <w:rsid w:val="002C7562"/>
    <w:rsid w:val="002E293C"/>
    <w:rsid w:val="00333594"/>
    <w:rsid w:val="003515E3"/>
    <w:rsid w:val="00364F9F"/>
    <w:rsid w:val="003946BB"/>
    <w:rsid w:val="003B6DA3"/>
    <w:rsid w:val="003B757E"/>
    <w:rsid w:val="0051000B"/>
    <w:rsid w:val="00521577"/>
    <w:rsid w:val="005A0185"/>
    <w:rsid w:val="0061147B"/>
    <w:rsid w:val="00645739"/>
    <w:rsid w:val="00681BDF"/>
    <w:rsid w:val="00773E06"/>
    <w:rsid w:val="008255E6"/>
    <w:rsid w:val="0088729C"/>
    <w:rsid w:val="008930F7"/>
    <w:rsid w:val="0089542A"/>
    <w:rsid w:val="008F3484"/>
    <w:rsid w:val="00962EF5"/>
    <w:rsid w:val="00977CA8"/>
    <w:rsid w:val="00A00117"/>
    <w:rsid w:val="00A379D7"/>
    <w:rsid w:val="00A73771"/>
    <w:rsid w:val="00AC05D5"/>
    <w:rsid w:val="00B30B39"/>
    <w:rsid w:val="00C02C6D"/>
    <w:rsid w:val="00C56BDB"/>
    <w:rsid w:val="00C640AF"/>
    <w:rsid w:val="00CA383B"/>
    <w:rsid w:val="00CA7B1E"/>
    <w:rsid w:val="00CD7D0A"/>
    <w:rsid w:val="00E44ECD"/>
    <w:rsid w:val="00E62C55"/>
    <w:rsid w:val="00E637EA"/>
    <w:rsid w:val="00E95C5C"/>
    <w:rsid w:val="00F57908"/>
    <w:rsid w:val="00FE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F36D"/>
  <w15:docId w15:val="{0E8C3477-6C93-453A-A79A-5A39C36C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character" w:customStyle="1" w:styleId="10">
    <w:name w:val="Подзаголовок Знак1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2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5">
    <w:name w:val="Текст сноски Знак1"/>
    <w:link w:val="ad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character" w:customStyle="1" w:styleId="16">
    <w:name w:val="Текст концевой сноски Знак1"/>
    <w:link w:val="af"/>
    <w:uiPriority w:val="99"/>
    <w:rPr>
      <w:sz w:val="20"/>
    </w:rPr>
  </w:style>
  <w:style w:type="character" w:styleId="af0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WW8Num2z0">
    <w:name w:val="WW8Num2z0"/>
    <w:qFormat/>
    <w:rPr>
      <w:rFonts w:ascii="Symbol" w:hAnsi="Symbol" w:cs="Symbol"/>
      <w:sz w:val="20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8">
    <w:name w:val="Основной шрифт абзаца1"/>
    <w:qFormat/>
  </w:style>
  <w:style w:type="character" w:customStyle="1" w:styleId="highlighthighlightactive">
    <w:name w:val="highlight highlight_active"/>
    <w:basedOn w:val="18"/>
    <w:qFormat/>
  </w:style>
  <w:style w:type="character" w:styleId="af3">
    <w:name w:val="Strong"/>
    <w:qFormat/>
    <w:rPr>
      <w:b/>
      <w:bCs/>
    </w:rPr>
  </w:style>
  <w:style w:type="character" w:customStyle="1" w:styleId="19">
    <w:name w:val="Заголовок 1 Знак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4">
    <w:name w:val="Верхний колонтитул Знак"/>
    <w:qFormat/>
    <w:rPr>
      <w:sz w:val="24"/>
      <w:szCs w:val="24"/>
    </w:rPr>
  </w:style>
  <w:style w:type="character" w:customStyle="1" w:styleId="af5">
    <w:name w:val="Нижний колонтитул Знак"/>
    <w:qFormat/>
    <w:rPr>
      <w:sz w:val="24"/>
      <w:szCs w:val="24"/>
    </w:rPr>
  </w:style>
  <w:style w:type="character" w:customStyle="1" w:styleId="af6">
    <w:name w:val="Текст выноски Знак"/>
    <w:qFormat/>
    <w:rPr>
      <w:rFonts w:ascii="Tahoma" w:hAnsi="Tahoma" w:cs="Tahoma"/>
      <w:sz w:val="16"/>
      <w:szCs w:val="16"/>
    </w:rPr>
  </w:style>
  <w:style w:type="character" w:styleId="af7">
    <w:name w:val="Hyperlink"/>
    <w:rPr>
      <w:color w:val="0000FF"/>
      <w:u w:val="single"/>
    </w:rPr>
  </w:style>
  <w:style w:type="character" w:customStyle="1" w:styleId="af8">
    <w:name w:val="Подзаголовок Знак"/>
    <w:qFormat/>
    <w:rPr>
      <w:rFonts w:ascii="Cambria" w:eastAsia="Times New Roman" w:hAnsi="Cambria" w:cs="Times New Roman"/>
      <w:sz w:val="24"/>
      <w:szCs w:val="24"/>
    </w:rPr>
  </w:style>
  <w:style w:type="character" w:customStyle="1" w:styleId="af9">
    <w:name w:val="Текст концевой сноски Знак"/>
    <w:qFormat/>
    <w:rPr>
      <w:rFonts w:ascii="Calibri" w:eastAsia="Calibri" w:hAnsi="Calibri" w:cs="Calibri"/>
    </w:rPr>
  </w:style>
  <w:style w:type="character" w:customStyle="1" w:styleId="afa">
    <w:name w:val="Символ концевой сноски"/>
    <w:qFormat/>
    <w:rPr>
      <w:vertAlign w:val="superscript"/>
    </w:rPr>
  </w:style>
  <w:style w:type="character" w:customStyle="1" w:styleId="afb">
    <w:name w:val="Текст сноски Знак"/>
    <w:uiPriority w:val="99"/>
    <w:qFormat/>
    <w:rPr>
      <w:lang w:eastAsia="zh-C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c">
    <w:name w:val="Гипертекстовая ссылка"/>
    <w:qFormat/>
    <w:rPr>
      <w:rFonts w:cs="Times New Roman"/>
      <w:b w:val="0"/>
      <w:color w:val="106BBE"/>
    </w:rPr>
  </w:style>
  <w:style w:type="character" w:customStyle="1" w:styleId="43">
    <w:name w:val="Заголовок 4 Знак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customStyle="1" w:styleId="Heading">
    <w:name w:val="Heading"/>
    <w:basedOn w:val="a"/>
    <w:next w:val="afd"/>
    <w:qFormat/>
    <w:pPr>
      <w:keepNext/>
      <w:spacing w:before="240" w:after="120"/>
    </w:pPr>
    <w:rPr>
      <w:rFonts w:ascii="Liberation Sans;Arial" w:eastAsia="Noto Sans CJK SC Regular" w:hAnsi="Liberation Sans;Arial" w:cs="Lohit Devanagari;Times New Roma"/>
      <w:sz w:val="28"/>
      <w:szCs w:val="28"/>
    </w:rPr>
  </w:style>
  <w:style w:type="paragraph" w:styleId="afd">
    <w:name w:val="Body Text"/>
    <w:basedOn w:val="a"/>
    <w:rPr>
      <w:b/>
      <w:szCs w:val="20"/>
    </w:rPr>
  </w:style>
  <w:style w:type="paragraph" w:styleId="afe">
    <w:name w:val="List"/>
    <w:basedOn w:val="afd"/>
    <w:rPr>
      <w:rFonts w:cs="Lohit Devanagari;Times New Roma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Lohit Devanagari;Times New Roma"/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a">
    <w:name w:val="Указатель1"/>
    <w:basedOn w:val="a"/>
    <w:qFormat/>
    <w:pPr>
      <w:suppressLineNumbers/>
    </w:pPr>
    <w:rPr>
      <w:rFonts w:cs="Lohit Devanagari;Times New Roma"/>
    </w:rPr>
  </w:style>
  <w:style w:type="paragraph" w:customStyle="1" w:styleId="ConsPlusNormal">
    <w:name w:val="ConsPlusNormal"/>
    <w:qFormat/>
    <w:rPr>
      <w:rFonts w:eastAsia="Times New Roman" w:cs="Times New Roman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12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3"/>
    <w:pPr>
      <w:tabs>
        <w:tab w:val="center" w:pos="4677"/>
        <w:tab w:val="right" w:pos="9355"/>
      </w:tabs>
    </w:pPr>
  </w:style>
  <w:style w:type="paragraph" w:customStyle="1" w:styleId="aff0">
    <w:name w:val="Текстовый блок"/>
    <w:qFormat/>
    <w:pP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lang w:val="ru-RU" w:bidi="ar-SA"/>
    </w:rPr>
  </w:style>
  <w:style w:type="paragraph" w:customStyle="1" w:styleId="aff1">
    <w:name w:val="Знак"/>
    <w:basedOn w:val="a"/>
    <w:qFormat/>
    <w:pPr>
      <w:keepLines/>
      <w:spacing w:after="160" w:line="240" w:lineRule="exact"/>
    </w:pPr>
    <w:rPr>
      <w:rFonts w:ascii="Verdana" w:eastAsia="MS Mincho;ＭＳ 明朝" w:hAnsi="Verdana" w:cs="Franklin Gothic Book"/>
      <w:sz w:val="20"/>
      <w:szCs w:val="20"/>
      <w:lang w:val="en-US"/>
    </w:rPr>
  </w:style>
  <w:style w:type="paragraph" w:styleId="aff2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link w:val="10"/>
    <w:qFormat/>
    <w:pPr>
      <w:spacing w:after="60"/>
      <w:jc w:val="center"/>
    </w:pPr>
    <w:rPr>
      <w:rFonts w:ascii="Cambria" w:hAnsi="Cambria"/>
    </w:rPr>
  </w:style>
  <w:style w:type="paragraph" w:customStyle="1" w:styleId="ConsPlusCell">
    <w:name w:val="ConsPlusCell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val="ru-RU" w:bidi="ar-SA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 w:cs="Tahoma"/>
      <w:sz w:val="26"/>
      <w:szCs w:val="20"/>
      <w:lang w:val="ru-RU" w:bidi="ar-SA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">
    <w:name w:val="endnote text"/>
    <w:basedOn w:val="a"/>
    <w:link w:val="16"/>
    <w:rPr>
      <w:rFonts w:ascii="Calibri" w:eastAsia="Calibri" w:hAnsi="Calibri"/>
      <w:sz w:val="20"/>
      <w:szCs w:val="20"/>
    </w:rPr>
  </w:style>
  <w:style w:type="paragraph" w:styleId="ad">
    <w:name w:val="footnote text"/>
    <w:basedOn w:val="a"/>
    <w:link w:val="15"/>
    <w:uiPriority w:val="99"/>
    <w:rPr>
      <w:sz w:val="20"/>
      <w:szCs w:val="20"/>
    </w:rPr>
  </w:style>
  <w:style w:type="paragraph" w:customStyle="1" w:styleId="aff3">
    <w:name w:val="Нормальный (таблица)"/>
    <w:basedOn w:val="a"/>
    <w:next w:val="a"/>
    <w:qFormat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contactsitem-text">
    <w:name w:val="contacts__item-text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8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Info@rts-tend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_der@admugansk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property-sal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2843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ErmakBG</dc:creator>
  <cp:keywords/>
  <dc:description/>
  <cp:lastModifiedBy>Ирина Михайловна Чакина</cp:lastModifiedBy>
  <cp:revision>7</cp:revision>
  <cp:lastPrinted>2025-03-19T11:45:00Z</cp:lastPrinted>
  <dcterms:created xsi:type="dcterms:W3CDTF">2025-03-20T09:27:00Z</dcterms:created>
  <dcterms:modified xsi:type="dcterms:W3CDTF">2025-03-21T05:36:00Z</dcterms:modified>
  <dc:language>en-US</dc:language>
</cp:coreProperties>
</file>