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935" w:rsidRPr="00F93EB7" w:rsidRDefault="00825935" w:rsidP="008259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01A62" wp14:editId="79F0EDC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935" w:rsidRPr="00F93EB7" w:rsidRDefault="00825935" w:rsidP="008259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935" w:rsidRDefault="00825935" w:rsidP="0082593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825935" w:rsidRPr="004061B5" w:rsidRDefault="00825935" w:rsidP="00825935">
      <w:pPr>
        <w:ind w:right="-1"/>
        <w:jc w:val="center"/>
        <w:rPr>
          <w:b/>
          <w:sz w:val="10"/>
          <w:szCs w:val="10"/>
        </w:rPr>
      </w:pPr>
    </w:p>
    <w:p w:rsidR="00825935" w:rsidRPr="005A4D1E" w:rsidRDefault="00825935" w:rsidP="008259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825935" w:rsidRPr="005A4D1E" w:rsidRDefault="00825935" w:rsidP="008259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825935" w:rsidRDefault="00825935" w:rsidP="00825935">
      <w:r w:rsidRPr="00F93EB7">
        <w:t>_______________________________________________</w:t>
      </w:r>
      <w:r>
        <w:t>______________________________</w:t>
      </w:r>
    </w:p>
    <w:p w:rsidR="00825935" w:rsidRPr="001D3FDE" w:rsidRDefault="00825935" w:rsidP="00825935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253"/>
        <w:gridCol w:w="5013"/>
      </w:tblGrid>
      <w:tr w:rsidR="00825935" w:rsidRPr="00BF322C" w:rsidTr="00323CB9">
        <w:trPr>
          <w:trHeight w:val="471"/>
        </w:trPr>
        <w:tc>
          <w:tcPr>
            <w:tcW w:w="4253" w:type="dxa"/>
          </w:tcPr>
          <w:p w:rsidR="00825935" w:rsidRPr="00B67306" w:rsidRDefault="0089539A" w:rsidP="0086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24.12.2024 № СП-</w:t>
            </w:r>
            <w:r w:rsidR="00C768C1">
              <w:rPr>
                <w:sz w:val="28"/>
                <w:szCs w:val="28"/>
              </w:rPr>
              <w:t>764</w:t>
            </w:r>
            <w:r>
              <w:rPr>
                <w:sz w:val="28"/>
                <w:szCs w:val="28"/>
              </w:rPr>
              <w:t>-4</w:t>
            </w:r>
            <w:r w:rsidR="00825935" w:rsidRPr="00B6730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013" w:type="dxa"/>
          </w:tcPr>
          <w:p w:rsidR="00825935" w:rsidRPr="00540D6E" w:rsidRDefault="00825935" w:rsidP="00323CB9">
            <w:pPr>
              <w:ind w:left="2164"/>
              <w:rPr>
                <w:sz w:val="28"/>
                <w:szCs w:val="28"/>
              </w:rPr>
            </w:pPr>
          </w:p>
        </w:tc>
      </w:tr>
    </w:tbl>
    <w:p w:rsidR="00825935" w:rsidRDefault="00825935" w:rsidP="00825935">
      <w:pPr>
        <w:jc w:val="center"/>
        <w:rPr>
          <w:b/>
          <w:sz w:val="28"/>
          <w:szCs w:val="28"/>
        </w:rPr>
      </w:pPr>
    </w:p>
    <w:p w:rsidR="00825935" w:rsidRPr="00AC2BE2" w:rsidRDefault="00825935" w:rsidP="00825935">
      <w:pPr>
        <w:jc w:val="center"/>
        <w:rPr>
          <w:b/>
        </w:rPr>
      </w:pPr>
      <w:bookmarkStart w:id="0" w:name="_Hlk188010638"/>
      <w:bookmarkStart w:id="1" w:name="_GoBack"/>
      <w:r w:rsidRPr="00AC2BE2">
        <w:rPr>
          <w:b/>
        </w:rPr>
        <w:t xml:space="preserve">ЗАКЛЮЧЕНИЕ </w:t>
      </w:r>
    </w:p>
    <w:p w:rsidR="00825935" w:rsidRPr="005349BC" w:rsidRDefault="00825935" w:rsidP="00825935">
      <w:pPr>
        <w:jc w:val="center"/>
        <w:rPr>
          <w:sz w:val="28"/>
          <w:szCs w:val="28"/>
        </w:rPr>
      </w:pPr>
      <w:r w:rsidRPr="005349BC">
        <w:rPr>
          <w:sz w:val="28"/>
          <w:szCs w:val="28"/>
        </w:rPr>
        <w:t>на проект решения Думы города Нефтеюганска</w:t>
      </w:r>
    </w:p>
    <w:p w:rsidR="00825935" w:rsidRPr="005349BC" w:rsidRDefault="00825935" w:rsidP="00825935">
      <w:pPr>
        <w:jc w:val="center"/>
        <w:rPr>
          <w:rFonts w:cs="Arial"/>
          <w:sz w:val="28"/>
          <w:szCs w:val="28"/>
        </w:rPr>
      </w:pPr>
      <w:r w:rsidRPr="005349BC">
        <w:rPr>
          <w:sz w:val="28"/>
          <w:szCs w:val="28"/>
        </w:rPr>
        <w:t>«</w:t>
      </w:r>
      <w:r w:rsidRPr="005349BC">
        <w:rPr>
          <w:rFonts w:cs="Arial"/>
          <w:sz w:val="28"/>
          <w:szCs w:val="28"/>
        </w:rPr>
        <w:t xml:space="preserve">О </w:t>
      </w:r>
      <w:r>
        <w:rPr>
          <w:rFonts w:cs="Arial"/>
          <w:sz w:val="28"/>
          <w:szCs w:val="28"/>
        </w:rPr>
        <w:t>структуре администрации</w:t>
      </w:r>
      <w:r w:rsidRPr="005349BC">
        <w:rPr>
          <w:rFonts w:cs="Arial"/>
          <w:sz w:val="28"/>
          <w:szCs w:val="28"/>
        </w:rPr>
        <w:t xml:space="preserve"> города Нефтеюганска»</w:t>
      </w:r>
    </w:p>
    <w:bookmarkEnd w:id="0"/>
    <w:bookmarkEnd w:id="1"/>
    <w:p w:rsidR="00825935" w:rsidRDefault="00825935" w:rsidP="008259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25935" w:rsidRPr="008C3A92" w:rsidRDefault="00825935" w:rsidP="008C3A92">
      <w:pPr>
        <w:ind w:firstLine="709"/>
        <w:jc w:val="both"/>
        <w:rPr>
          <w:sz w:val="28"/>
          <w:szCs w:val="28"/>
        </w:rPr>
      </w:pPr>
      <w:r w:rsidRPr="008C3A92">
        <w:rPr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Федерального закона от 07.02.2011 № 6-ФЗ </w:t>
      </w:r>
      <w:r w:rsidR="008C3A92" w:rsidRPr="008C3A92">
        <w:rPr>
          <w:sz w:val="28"/>
          <w:szCs w:val="28"/>
        </w:rPr>
        <w:br/>
      </w:r>
      <w:r w:rsidRPr="008C3A92">
        <w:rPr>
          <w:sz w:val="28"/>
          <w:szCs w:val="28"/>
        </w:rPr>
        <w:t>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образований», Положения о Счётной палате города Нефтеюганска, утверждённого решением Думы города Нефтеюганска от 22.12.2021 № 56-VII, рассмотрев проект решения Думы города Нефтеюганска «О структуре администрации города Нефтеюганска» (далее – Проект), сообщает.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rFonts w:cs="Times New Roman"/>
          <w:sz w:val="28"/>
          <w:szCs w:val="28"/>
        </w:rPr>
        <w:t xml:space="preserve">1. В соответствии с </w:t>
      </w:r>
      <w:hyperlink r:id="rId7" w:history="1">
        <w:r w:rsidRPr="00A659FC">
          <w:rPr>
            <w:rFonts w:cs="Times New Roman"/>
            <w:sz w:val="28"/>
            <w:szCs w:val="28"/>
          </w:rPr>
          <w:t>частью</w:t>
        </w:r>
      </w:hyperlink>
      <w:r w:rsidRPr="00A659FC">
        <w:rPr>
          <w:rFonts w:cs="Times New Roman"/>
          <w:sz w:val="28"/>
          <w:szCs w:val="28"/>
        </w:rPr>
        <w:t xml:space="preserve"> 1 статьи 34 </w:t>
      </w:r>
      <w:r w:rsidRPr="00A659FC">
        <w:rPr>
          <w:rFonts w:cs="Times New Roman"/>
          <w:sz w:val="28"/>
          <w:szCs w:val="28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 (далее – Закон от 06.10.2003</w:t>
      </w:r>
      <w:r>
        <w:rPr>
          <w:rFonts w:cs="Times New Roman"/>
          <w:sz w:val="28"/>
          <w:szCs w:val="28"/>
          <w:shd w:val="clear" w:color="auto" w:fill="FFFFFF"/>
        </w:rPr>
        <w:br/>
      </w:r>
      <w:r w:rsidRPr="00A659FC">
        <w:rPr>
          <w:rFonts w:cs="Times New Roman"/>
          <w:sz w:val="28"/>
          <w:szCs w:val="28"/>
          <w:shd w:val="clear" w:color="auto" w:fill="FFFFFF"/>
        </w:rPr>
        <w:t>№ 131-ФЗ)</w:t>
      </w:r>
      <w:r w:rsidRPr="00A659FC">
        <w:rPr>
          <w:rFonts w:cs="Times New Roman"/>
          <w:sz w:val="28"/>
          <w:szCs w:val="28"/>
        </w:rPr>
        <w:t xml:space="preserve"> структуру органов местного самоуправления составляют представительный орган муниципального образования, глава му</w:t>
      </w:r>
      <w:r w:rsidRPr="00A659FC">
        <w:rPr>
          <w:sz w:val="28"/>
          <w:szCs w:val="28"/>
        </w:rPr>
        <w:t>ниципального образования, местная администрация (исполнительно-распорядительный орган муниципального образования), контрольно-счётный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Согласно статье 5 Устава города Нефтеюганска (далее – Устав), структуру органов местного самоуправления города Нефтеюганска составляют: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1) представительный орган муниципального образования – Дум</w:t>
      </w:r>
      <w:r>
        <w:rPr>
          <w:sz w:val="28"/>
          <w:szCs w:val="28"/>
        </w:rPr>
        <w:t>а города Нефтеюганска;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2) глава муниципального образования – глава города Нефтеюганска;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3) исполнительно-распорядительный орган</w:t>
      </w:r>
      <w:r>
        <w:rPr>
          <w:sz w:val="28"/>
          <w:szCs w:val="28"/>
        </w:rPr>
        <w:t xml:space="preserve"> </w:t>
      </w:r>
      <w:r w:rsidRPr="00A659FC">
        <w:rPr>
          <w:sz w:val="28"/>
          <w:szCs w:val="28"/>
        </w:rPr>
        <w:t>муниципального образования – администрация города Нефтеюганска;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A659FC">
        <w:rPr>
          <w:sz w:val="28"/>
          <w:szCs w:val="28"/>
        </w:rPr>
        <w:t>контрольно-счётный орган муниципального образования – Счётная палата города Нефтеюганска.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 xml:space="preserve">Частью 8 статьи 37 Закона </w:t>
      </w:r>
      <w:r w:rsidRPr="00A659FC">
        <w:rPr>
          <w:rFonts w:cs="Times New Roman"/>
          <w:sz w:val="28"/>
          <w:szCs w:val="28"/>
          <w:shd w:val="clear" w:color="auto" w:fill="FFFFFF"/>
        </w:rPr>
        <w:t>от 06.10.2003 № 131-ФЗ</w:t>
      </w:r>
      <w:r w:rsidRPr="00A659FC">
        <w:rPr>
          <w:sz w:val="28"/>
          <w:szCs w:val="28"/>
        </w:rPr>
        <w:t xml:space="preserve">, частью 4 статьи 27 Устава предусмотрено, что структура местной администрации утверждается </w:t>
      </w:r>
      <w:r w:rsidRPr="00A659FC">
        <w:rPr>
          <w:sz w:val="28"/>
          <w:szCs w:val="28"/>
        </w:rPr>
        <w:lastRenderedPageBreak/>
        <w:t>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825935" w:rsidRPr="00994FB9" w:rsidRDefault="00825935" w:rsidP="00825935">
      <w:pPr>
        <w:pStyle w:val="a6"/>
        <w:ind w:firstLine="709"/>
        <w:rPr>
          <w:sz w:val="28"/>
          <w:szCs w:val="28"/>
        </w:rPr>
      </w:pPr>
      <w:r w:rsidRPr="00994FB9">
        <w:rPr>
          <w:sz w:val="28"/>
          <w:szCs w:val="28"/>
        </w:rPr>
        <w:t>Должности главы города Нефтеюганска, помощника главы города, советника главы города, пресс-секретаря главы города предусмотрены в составе структуры администрации города Нефтеюганска (приложение 1 к Проекту).</w:t>
      </w:r>
    </w:p>
    <w:p w:rsidR="00825935" w:rsidRPr="00A659FC" w:rsidRDefault="00825935" w:rsidP="00825935">
      <w:pPr>
        <w:ind w:firstLine="709"/>
        <w:jc w:val="both"/>
        <w:rPr>
          <w:sz w:val="28"/>
          <w:szCs w:val="28"/>
        </w:rPr>
      </w:pPr>
      <w:r w:rsidRPr="00994FB9">
        <w:rPr>
          <w:rStyle w:val="a7"/>
          <w:b w:val="0"/>
          <w:color w:val="auto"/>
          <w:sz w:val="28"/>
          <w:szCs w:val="28"/>
        </w:rPr>
        <w:t>Согласно статье 1 Закона Ханты-Мансийского автономного округа - Югры от 20.07.2007 № 97-оз у</w:t>
      </w:r>
      <w:r w:rsidRPr="00994FB9">
        <w:rPr>
          <w:sz w:val="28"/>
          <w:szCs w:val="28"/>
        </w:rPr>
        <w:t xml:space="preserve">твержден Реестр должностей муниципальной службы в Ханты-Мансийском автономном округе - Югре, включающий в себя, в том числе отдельные перечни наименований должностей муниципальной службы, учреждаемых для обеспечения исполнения полномочий главы муниципального </w:t>
      </w:r>
      <w:r w:rsidRPr="00A659FC">
        <w:rPr>
          <w:sz w:val="28"/>
          <w:szCs w:val="28"/>
        </w:rPr>
        <w:t xml:space="preserve">образования Ханты-Мансийского автономного округа </w:t>
      </w:r>
      <w:r w:rsidR="00FD5B6B">
        <w:rPr>
          <w:sz w:val="28"/>
          <w:szCs w:val="28"/>
        </w:rPr>
        <w:t>-</w:t>
      </w:r>
      <w:r w:rsidRPr="00A659FC">
        <w:rPr>
          <w:sz w:val="28"/>
          <w:szCs w:val="28"/>
        </w:rPr>
        <w:t xml:space="preserve"> Югры и местной администрации (исполнительно-распорядительного органа муниципального образования).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Думой города Нефтеюганска принято решение от 20.12.2023 № 454-VII «Об утверждении Положения о порядке представления структуры администрации города Нефтеюганска главой города Нефтеюганска и её утверждения Думой города Нефтеюганска», где также не предусмотрено, что глава города Нефтеюганска, помощник главы города, советник главы города, пресс-секретарь главы города включаются в структуру администрации города Нефтеюганска.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659FC">
        <w:rPr>
          <w:sz w:val="28"/>
          <w:szCs w:val="28"/>
        </w:rPr>
        <w:t xml:space="preserve">редлагаем исключить указанные должности из приложения 1 </w:t>
      </w:r>
      <w:r>
        <w:rPr>
          <w:sz w:val="28"/>
          <w:szCs w:val="28"/>
        </w:rPr>
        <w:t xml:space="preserve">к </w:t>
      </w:r>
      <w:r w:rsidRPr="00A659F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A659FC">
        <w:rPr>
          <w:sz w:val="28"/>
          <w:szCs w:val="28"/>
        </w:rPr>
        <w:t>.</w:t>
      </w:r>
    </w:p>
    <w:p w:rsidR="00825935" w:rsidRDefault="00825935" w:rsidP="00825935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659FC">
        <w:rPr>
          <w:sz w:val="28"/>
          <w:szCs w:val="28"/>
        </w:rPr>
        <w:t>2. Согласно пояснительной записке к Проекту вводится должность для обеспечения деятельности главы города «помощник главы города», в функциональные обязанности которого будет входить, в том числе разработка или участие в разработке ответов на обращения граждан, писем, запросов, связанных с деятельностью главы города, работа с входящей документацией в адрес главы и администрации города. Указанный функционал дублирует функции структурных подразделений департамента по делам администрации, созданных непосредственно в целях решения указанных вопросов: отдел по работе с обращениями граждан и отдел информационных технологий, документационного обеспечения и контроля.</w:t>
      </w:r>
    </w:p>
    <w:p w:rsidR="00825935" w:rsidRPr="00A659FC" w:rsidRDefault="00825935" w:rsidP="00825935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659FC">
        <w:rPr>
          <w:sz w:val="28"/>
          <w:szCs w:val="28"/>
        </w:rPr>
        <w:t>Рекомендуем исключить дублирование функций со структурными подразделениями депар</w:t>
      </w:r>
      <w:r>
        <w:rPr>
          <w:sz w:val="28"/>
          <w:szCs w:val="28"/>
        </w:rPr>
        <w:t>тамента по делам администрации.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>3. К</w:t>
      </w:r>
      <w:r w:rsidRPr="00A659FC">
        <w:rPr>
          <w:rFonts w:cs="Times New Roman"/>
          <w:sz w:val="28"/>
          <w:szCs w:val="28"/>
        </w:rPr>
        <w:t>ак следует из представленных документов, планируется переименование информационно-аналитического отдела в п</w:t>
      </w:r>
      <w:r w:rsidRPr="00A659FC">
        <w:rPr>
          <w:sz w:val="28"/>
          <w:szCs w:val="28"/>
          <w:lang w:bidi="ru-RU"/>
        </w:rPr>
        <w:t>ресс-службу, выведение его в отдельное структурное подразделение с двумя секторами.</w:t>
      </w:r>
    </w:p>
    <w:p w:rsidR="00825935" w:rsidRPr="00A659FC" w:rsidRDefault="00825935" w:rsidP="00825935">
      <w:pPr>
        <w:pStyle w:val="a6"/>
        <w:ind w:firstLine="709"/>
        <w:rPr>
          <w:rFonts w:cs="Times New Roman"/>
          <w:sz w:val="28"/>
          <w:szCs w:val="28"/>
        </w:rPr>
      </w:pPr>
      <w:r w:rsidRPr="00A659FC">
        <w:rPr>
          <w:sz w:val="28"/>
          <w:szCs w:val="28"/>
        </w:rPr>
        <w:t>Р</w:t>
      </w:r>
      <w:r w:rsidRPr="00A659FC">
        <w:rPr>
          <w:rFonts w:cs="Times New Roman"/>
          <w:sz w:val="28"/>
          <w:szCs w:val="28"/>
        </w:rPr>
        <w:t xml:space="preserve">аспоряжением первого заместителя Губернатора Ханты-Мансийского автономного округа </w:t>
      </w:r>
      <w:r w:rsidRPr="00A659FC">
        <w:rPr>
          <w:sz w:val="28"/>
          <w:szCs w:val="28"/>
        </w:rPr>
        <w:t xml:space="preserve">- Югры от 15.12.20202 № 807-р утверждены методические рекомендации по формированию организационных </w:t>
      </w:r>
      <w:r w:rsidRPr="00A659FC">
        <w:rPr>
          <w:rFonts w:cs="Times New Roman"/>
          <w:sz w:val="28"/>
          <w:szCs w:val="28"/>
        </w:rPr>
        <w:t xml:space="preserve">структур исполнительно-распорядительных и представительных органов городских округов и муниципальных районов Ханты-Мансийского автономного округа - Югры (далее </w:t>
      </w:r>
      <w:r w:rsidRPr="00A659FC">
        <w:rPr>
          <w:sz w:val="28"/>
          <w:szCs w:val="28"/>
          <w:lang w:bidi="ru-RU"/>
        </w:rPr>
        <w:t>–</w:t>
      </w:r>
      <w:r w:rsidRPr="00A659FC">
        <w:rPr>
          <w:rFonts w:cs="Times New Roman"/>
          <w:sz w:val="28"/>
          <w:szCs w:val="28"/>
        </w:rPr>
        <w:t xml:space="preserve"> Методические рекомендации) в целях оказания содействия </w:t>
      </w:r>
      <w:r w:rsidRPr="00A659FC">
        <w:rPr>
          <w:rFonts w:cs="Times New Roman"/>
          <w:sz w:val="28"/>
          <w:szCs w:val="28"/>
        </w:rPr>
        <w:lastRenderedPageBreak/>
        <w:t>исполнительно-распорядительным и представительным органам городских округов и муниципальных районов Ханты-Мансийского автономного округа - Югры при формировании и совершенствовании организационно-штатной структуры подразделений органов, созданию условий для единого подхода к формированию организационных структур указанных органов, а также определению штатной численности их работников, обеспечения обоснованного формирования местных бюджетов городских округов и муниципальных районов автономного округа в части расходов на содержание органов местного самоуправления.</w:t>
      </w:r>
    </w:p>
    <w:p w:rsidR="00825935" w:rsidRDefault="00825935" w:rsidP="00825935">
      <w:pPr>
        <w:pStyle w:val="a6"/>
        <w:ind w:firstLine="709"/>
        <w:rPr>
          <w:sz w:val="28"/>
          <w:szCs w:val="28"/>
          <w:lang w:bidi="ru-RU"/>
        </w:rPr>
      </w:pPr>
      <w:r w:rsidRPr="00A659FC">
        <w:rPr>
          <w:rFonts w:cs="Times New Roman"/>
          <w:sz w:val="28"/>
          <w:szCs w:val="28"/>
        </w:rPr>
        <w:t>Пунктом 32 Методических рекомендаций предусматривается, что в</w:t>
      </w:r>
      <w:r w:rsidRPr="00A659FC">
        <w:rPr>
          <w:sz w:val="28"/>
          <w:szCs w:val="28"/>
        </w:rPr>
        <w:t xml:space="preserve"> </w:t>
      </w:r>
      <w:r w:rsidRPr="00A659FC">
        <w:rPr>
          <w:rFonts w:cs="Times New Roman"/>
          <w:sz w:val="28"/>
          <w:szCs w:val="28"/>
        </w:rPr>
        <w:t>структуре местной администрации могут образовываться департаменты, комитеты, управления, отделы, се</w:t>
      </w:r>
      <w:r w:rsidR="00C872E1">
        <w:rPr>
          <w:rFonts w:cs="Times New Roman"/>
          <w:sz w:val="28"/>
          <w:szCs w:val="28"/>
        </w:rPr>
        <w:t>ктора, комиссии, при этом службы не предусмотрены</w:t>
      </w:r>
      <w:r w:rsidRPr="00A659FC">
        <w:rPr>
          <w:rFonts w:cs="Times New Roman"/>
          <w:sz w:val="28"/>
          <w:szCs w:val="28"/>
        </w:rPr>
        <w:t>. Кроме того, в этом же пункте предусмотрена р</w:t>
      </w:r>
      <w:r w:rsidRPr="00A659FC">
        <w:rPr>
          <w:sz w:val="28"/>
          <w:szCs w:val="28"/>
          <w:lang w:bidi="ru-RU"/>
        </w:rPr>
        <w:t xml:space="preserve">екомендуемая штатная численность сектора – не менее 3 единиц (включая должность руководителя), следовательно, на два сектора – 6 единиц. </w:t>
      </w:r>
      <w:r>
        <w:rPr>
          <w:sz w:val="28"/>
          <w:szCs w:val="28"/>
          <w:lang w:bidi="ru-RU"/>
        </w:rPr>
        <w:t>Однако</w:t>
      </w:r>
      <w:r w:rsidRPr="00A659FC">
        <w:rPr>
          <w:sz w:val="28"/>
          <w:szCs w:val="28"/>
          <w:lang w:bidi="ru-RU"/>
        </w:rPr>
        <w:t>, в пресс-службе 4 штатные единицы в двух секторах</w:t>
      </w:r>
      <w:r w:rsidR="00C872E1">
        <w:rPr>
          <w:sz w:val="28"/>
          <w:szCs w:val="28"/>
          <w:lang w:bidi="ru-RU"/>
        </w:rPr>
        <w:t>.</w:t>
      </w:r>
    </w:p>
    <w:p w:rsidR="00825935" w:rsidRPr="00A659FC" w:rsidRDefault="00825935" w:rsidP="00825935">
      <w:pPr>
        <w:pStyle w:val="a6"/>
        <w:ind w:firstLine="709"/>
        <w:rPr>
          <w:rFonts w:cs="Times New Roman"/>
          <w:sz w:val="28"/>
          <w:szCs w:val="28"/>
        </w:rPr>
      </w:pPr>
      <w:r w:rsidRPr="00A659FC">
        <w:rPr>
          <w:sz w:val="28"/>
          <w:szCs w:val="28"/>
          <w:lang w:bidi="ru-RU"/>
        </w:rPr>
        <w:t xml:space="preserve">Предлагаем рассмотреть вопрос о сохранении </w:t>
      </w:r>
      <w:r w:rsidRPr="00A659FC">
        <w:rPr>
          <w:rFonts w:cs="Times New Roman"/>
          <w:sz w:val="28"/>
          <w:szCs w:val="28"/>
        </w:rPr>
        <w:t>информационно-аналитического отдела.</w:t>
      </w:r>
    </w:p>
    <w:p w:rsidR="00825935" w:rsidRDefault="00825935" w:rsidP="00825935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 xml:space="preserve">4. Согласно пункту 35.1 </w:t>
      </w:r>
      <w:r w:rsidRPr="00A659FC">
        <w:rPr>
          <w:rFonts w:cs="Times New Roman"/>
          <w:sz w:val="28"/>
          <w:szCs w:val="28"/>
        </w:rPr>
        <w:t>Методических рекомендаций р</w:t>
      </w:r>
      <w:r w:rsidRPr="00A659FC">
        <w:rPr>
          <w:sz w:val="28"/>
          <w:szCs w:val="28"/>
        </w:rPr>
        <w:t xml:space="preserve">екомендуемая доля должностей муниципальной службы категории «руководители» </w:t>
      </w:r>
      <w:r w:rsidRPr="00A659FC">
        <w:rPr>
          <w:sz w:val="28"/>
          <w:szCs w:val="28"/>
          <w:lang w:bidi="ru-RU"/>
        </w:rPr>
        <w:t>–</w:t>
      </w:r>
      <w:r w:rsidRPr="00A659FC">
        <w:rPr>
          <w:sz w:val="28"/>
          <w:szCs w:val="28"/>
        </w:rPr>
        <w:t xml:space="preserve"> не более 30 % от общей штатной численности органа местного самоуправления. При этом, планируется увеличить должности муниципальной службы категории «руководители» на 6 единиц. Таким образом, доля составит 35% </w:t>
      </w:r>
      <w:r w:rsidR="00C872E1">
        <w:rPr>
          <w:sz w:val="28"/>
          <w:szCs w:val="28"/>
        </w:rPr>
        <w:br/>
      </w:r>
      <w:r w:rsidRPr="00A659FC">
        <w:rPr>
          <w:sz w:val="28"/>
          <w:szCs w:val="28"/>
        </w:rPr>
        <w:t>(46 / 131 * 100%).</w:t>
      </w:r>
    </w:p>
    <w:p w:rsidR="00825935" w:rsidRPr="00A659FC" w:rsidRDefault="00825935" w:rsidP="00825935">
      <w:pPr>
        <w:pStyle w:val="1"/>
        <w:shd w:val="clear" w:color="auto" w:fill="auto"/>
        <w:spacing w:line="240" w:lineRule="auto"/>
        <w:ind w:firstLine="709"/>
        <w:jc w:val="both"/>
      </w:pPr>
      <w:r w:rsidRPr="00A659FC">
        <w:t>5. В связи с внесением изменений в структу</w:t>
      </w:r>
      <w:r>
        <w:t>ру администрации города планирую</w:t>
      </w:r>
      <w:r w:rsidRPr="00A659FC">
        <w:t>тся перераспределение бюджетных ассигнований и выделение дополнительных бюджетных ассигнований в сумме 8 122 945 рублей.</w:t>
      </w:r>
    </w:p>
    <w:p w:rsidR="00825935" w:rsidRPr="00A659FC" w:rsidRDefault="00825935" w:rsidP="00825935">
      <w:pPr>
        <w:pStyle w:val="1"/>
        <w:shd w:val="clear" w:color="auto" w:fill="auto"/>
        <w:spacing w:line="240" w:lineRule="auto"/>
        <w:ind w:firstLine="709"/>
        <w:jc w:val="both"/>
      </w:pPr>
      <w:r w:rsidRPr="00A659FC">
        <w:t>В случае отказа сотрудников от перевода в другое подразделение планир</w:t>
      </w:r>
      <w:r>
        <w:t xml:space="preserve">уются </w:t>
      </w:r>
      <w:r w:rsidRPr="00A659FC">
        <w:t>расходы по выплате компенсации за неиспользуемый отпуск и выходного пособия при увольнении</w:t>
      </w:r>
      <w:r>
        <w:t>, среднего месячного заработка за период трудоустройства в сумме</w:t>
      </w:r>
      <w:r w:rsidRPr="00A659FC">
        <w:t xml:space="preserve"> 9 264 396 рублей.</w:t>
      </w:r>
    </w:p>
    <w:p w:rsidR="00825935" w:rsidRPr="00A659FC" w:rsidRDefault="00825935" w:rsidP="00825935">
      <w:pPr>
        <w:pStyle w:val="ConsPlusNormal"/>
        <w:ind w:firstLine="709"/>
        <w:jc w:val="both"/>
      </w:pPr>
      <w:r w:rsidRPr="00A659FC">
        <w:t xml:space="preserve">При этом, муниципальное образование не превысит норматив формирования расходов на содержание органов местного самоуправления муниципальных образований Ханты-Мансийского автономного округа - Югры на 2025 год, установленный распоряжением Правительства Ханты-Мансийского автономного округа </w:t>
      </w:r>
      <w:r>
        <w:t>-</w:t>
      </w:r>
      <w:r w:rsidRPr="00A659FC">
        <w:t xml:space="preserve"> Югры от 25</w:t>
      </w:r>
      <w:r>
        <w:t>.</w:t>
      </w:r>
      <w:r w:rsidRPr="00A659FC">
        <w:t>09.2024 № 472-рп.</w:t>
      </w:r>
    </w:p>
    <w:p w:rsidR="00825935" w:rsidRPr="00A659FC" w:rsidRDefault="00825935" w:rsidP="0082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FC">
        <w:rPr>
          <w:sz w:val="28"/>
          <w:szCs w:val="28"/>
        </w:rPr>
        <w:t>Информацию о результатах рассмотрения настоящего заключения необходимо направить в адрес Счётной палаты в срок до 28.12.2024 года.</w:t>
      </w:r>
    </w:p>
    <w:p w:rsidR="00825935" w:rsidRPr="00A659FC" w:rsidRDefault="00825935" w:rsidP="00825935">
      <w:pPr>
        <w:pStyle w:val="a6"/>
        <w:ind w:firstLine="709"/>
        <w:rPr>
          <w:sz w:val="28"/>
          <w:szCs w:val="28"/>
        </w:rPr>
      </w:pPr>
    </w:p>
    <w:p w:rsidR="00825935" w:rsidRPr="00A659FC" w:rsidRDefault="00825935" w:rsidP="008259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5935" w:rsidRDefault="00825935" w:rsidP="008259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59FC"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</w:t>
      </w:r>
      <w:r w:rsidRPr="00A659FC">
        <w:rPr>
          <w:rFonts w:eastAsiaTheme="minorHAnsi"/>
          <w:sz w:val="28"/>
          <w:szCs w:val="28"/>
          <w:lang w:eastAsia="en-US"/>
        </w:rPr>
        <w:tab/>
      </w:r>
      <w:r w:rsidRPr="00A659FC">
        <w:rPr>
          <w:rFonts w:eastAsiaTheme="minorHAnsi"/>
          <w:sz w:val="28"/>
          <w:szCs w:val="28"/>
          <w:lang w:eastAsia="en-US"/>
        </w:rPr>
        <w:tab/>
      </w:r>
      <w:r w:rsidRPr="00A659FC">
        <w:rPr>
          <w:rFonts w:eastAsiaTheme="minorHAnsi"/>
          <w:sz w:val="28"/>
          <w:szCs w:val="28"/>
          <w:lang w:eastAsia="en-US"/>
        </w:rPr>
        <w:tab/>
        <w:t xml:space="preserve">     С. А. Гичкина</w:t>
      </w:r>
      <w:r w:rsidRPr="00A659F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:rsidR="00825935" w:rsidRDefault="00825935" w:rsidP="00825935">
      <w:pPr>
        <w:jc w:val="both"/>
        <w:outlineLvl w:val="1"/>
        <w:rPr>
          <w:sz w:val="16"/>
          <w:szCs w:val="16"/>
        </w:rPr>
      </w:pP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 w:rsidRPr="008C0DC1">
        <w:rPr>
          <w:sz w:val="16"/>
          <w:szCs w:val="16"/>
        </w:rPr>
        <w:t>Исполнитель:</w:t>
      </w: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заместитель председателя</w:t>
      </w: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Хуснуллина Эльмира Наркисовна</w:t>
      </w:r>
    </w:p>
    <w:p w:rsidR="00825935" w:rsidRPr="00E241FE" w:rsidRDefault="00825935" w:rsidP="00825935">
      <w:pPr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C0DC1">
        <w:rPr>
          <w:sz w:val="16"/>
          <w:szCs w:val="16"/>
        </w:rPr>
        <w:t>тел.8 (3463) 20-3</w:t>
      </w:r>
      <w:r>
        <w:rPr>
          <w:sz w:val="16"/>
          <w:szCs w:val="16"/>
        </w:rPr>
        <w:t>0</w:t>
      </w:r>
      <w:r w:rsidRPr="008C0DC1">
        <w:rPr>
          <w:sz w:val="16"/>
          <w:szCs w:val="16"/>
        </w:rPr>
        <w:t>-</w:t>
      </w:r>
      <w:r>
        <w:rPr>
          <w:sz w:val="16"/>
          <w:szCs w:val="16"/>
        </w:rPr>
        <w:t>63</w:t>
      </w:r>
    </w:p>
    <w:p w:rsidR="00CE66C8" w:rsidRDefault="00CE66C8"/>
    <w:sectPr w:rsidR="00CE66C8" w:rsidSect="00AC2BE2"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D09" w:rsidRDefault="008C3A92">
      <w:r>
        <w:separator/>
      </w:r>
    </w:p>
  </w:endnote>
  <w:endnote w:type="continuationSeparator" w:id="0">
    <w:p w:rsidR="00373D09" w:rsidRDefault="008C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D09" w:rsidRDefault="008C3A92">
      <w:r>
        <w:separator/>
      </w:r>
    </w:p>
  </w:footnote>
  <w:footnote w:type="continuationSeparator" w:id="0">
    <w:p w:rsidR="00373D09" w:rsidRDefault="008C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C872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5D6A" w:rsidRDefault="00AC2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35"/>
    <w:rsid w:val="00323CB9"/>
    <w:rsid w:val="00373D09"/>
    <w:rsid w:val="00825935"/>
    <w:rsid w:val="0089539A"/>
    <w:rsid w:val="008C3A92"/>
    <w:rsid w:val="00994FB9"/>
    <w:rsid w:val="00AC2BE2"/>
    <w:rsid w:val="00C768C1"/>
    <w:rsid w:val="00C872E1"/>
    <w:rsid w:val="00CE66C8"/>
    <w:rsid w:val="00F855FA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F11D"/>
  <w15:chartTrackingRefBased/>
  <w15:docId w15:val="{9DBC00E7-89B2-4F55-905D-5A66B2A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5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5935"/>
    <w:pPr>
      <w:ind w:left="720"/>
      <w:contextualSpacing/>
    </w:pPr>
  </w:style>
  <w:style w:type="paragraph" w:customStyle="1" w:styleId="a6">
    <w:name w:val="Нормальный"/>
    <w:basedOn w:val="a"/>
    <w:rsid w:val="0082593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customStyle="1" w:styleId="a7">
    <w:name w:val="Цветовое выделение"/>
    <w:uiPriority w:val="99"/>
    <w:rsid w:val="00825935"/>
    <w:rPr>
      <w:b/>
      <w:bCs/>
      <w:color w:val="26282F"/>
    </w:rPr>
  </w:style>
  <w:style w:type="character" w:customStyle="1" w:styleId="a8">
    <w:name w:val="Основной текст_"/>
    <w:basedOn w:val="a0"/>
    <w:link w:val="1"/>
    <w:rsid w:val="008259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25935"/>
    <w:pPr>
      <w:widowControl w:val="0"/>
      <w:shd w:val="clear" w:color="auto" w:fill="FFFFFF"/>
      <w:spacing w:line="254" w:lineRule="auto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72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rbitr.garant.ru/document/redirect/186367/3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2024-12-24T11:13:00Z</cp:lastPrinted>
  <dcterms:created xsi:type="dcterms:W3CDTF">2024-12-23T09:05:00Z</dcterms:created>
  <dcterms:modified xsi:type="dcterms:W3CDTF">2025-01-17T07:51:00Z</dcterms:modified>
</cp:coreProperties>
</file>