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187631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A80" w:rsidRPr="00443A80">
        <w:rPr>
          <w:noProof/>
          <w:sz w:val="28"/>
          <w:szCs w:val="28"/>
        </w:rPr>
        <w:drawing>
          <wp:inline distT="0" distB="0" distL="0" distR="0" wp14:anchorId="4A7FC135" wp14:editId="2223EDCA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24C44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24C44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24C44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131196" w:rsidRDefault="00131196" w:rsidP="00424C44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131196" w:rsidTr="00131196">
        <w:tc>
          <w:tcPr>
            <w:tcW w:w="5140" w:type="dxa"/>
          </w:tcPr>
          <w:p w:rsidR="00131196" w:rsidRDefault="00131196" w:rsidP="00131196">
            <w:pPr>
              <w:rPr>
                <w:sz w:val="28"/>
                <w:szCs w:val="28"/>
              </w:rPr>
            </w:pPr>
            <w:r w:rsidRPr="00131196">
              <w:rPr>
                <w:sz w:val="28"/>
                <w:szCs w:val="28"/>
              </w:rPr>
              <w:t>Исх. от 27.12.2024 № СП-</w:t>
            </w:r>
            <w:r>
              <w:rPr>
                <w:sz w:val="28"/>
                <w:szCs w:val="28"/>
              </w:rPr>
              <w:t>776</w:t>
            </w:r>
            <w:r w:rsidRPr="00131196">
              <w:rPr>
                <w:sz w:val="28"/>
                <w:szCs w:val="28"/>
              </w:rPr>
              <w:t>-4</w:t>
            </w:r>
          </w:p>
        </w:tc>
        <w:tc>
          <w:tcPr>
            <w:tcW w:w="5140" w:type="dxa"/>
          </w:tcPr>
          <w:p w:rsidR="00131196" w:rsidRDefault="00131196" w:rsidP="00131196">
            <w:pPr>
              <w:rPr>
                <w:sz w:val="28"/>
                <w:szCs w:val="28"/>
              </w:rPr>
            </w:pPr>
          </w:p>
        </w:tc>
      </w:tr>
    </w:tbl>
    <w:p w:rsidR="00131196" w:rsidRDefault="00131196" w:rsidP="00131196">
      <w:pPr>
        <w:rPr>
          <w:sz w:val="28"/>
          <w:szCs w:val="28"/>
        </w:rPr>
      </w:pPr>
    </w:p>
    <w:p w:rsidR="00443A80" w:rsidRPr="00443A80" w:rsidRDefault="00443A80" w:rsidP="00131196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88011355"/>
      <w:bookmarkStart w:id="1" w:name="_GoBack"/>
      <w:r w:rsidRPr="00443A80">
        <w:rPr>
          <w:b/>
        </w:rPr>
        <w:t>ЗАКЛЮЧЕНИЕ</w:t>
      </w:r>
    </w:p>
    <w:p w:rsidR="00AD73DD" w:rsidRDefault="00E33F0E" w:rsidP="00131196">
      <w:pPr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131196">
        <w:rPr>
          <w:sz w:val="28"/>
          <w:szCs w:val="28"/>
        </w:rPr>
        <w:br/>
      </w:r>
      <w:r w:rsidR="00AD73DD">
        <w:rPr>
          <w:sz w:val="28"/>
          <w:szCs w:val="28"/>
        </w:rPr>
        <w:t>«</w:t>
      </w:r>
      <w:r w:rsidR="00C75B06" w:rsidRPr="00C75B06">
        <w:rPr>
          <w:sz w:val="28"/>
          <w:szCs w:val="28"/>
        </w:rPr>
        <w:t>Об утверждении порядка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оплату труда работников и начисления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 (за исключением расходов на содержание зданий и оплату коммунальных услуг), услуги связи в части предоставления доступа к сети Интернет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</w:p>
    <w:p w:rsidR="00AF4E22" w:rsidRPr="001640E3" w:rsidRDefault="00AF4E22" w:rsidP="00C75B06">
      <w:pPr>
        <w:jc w:val="both"/>
        <w:rPr>
          <w:sz w:val="28"/>
          <w:szCs w:val="28"/>
        </w:rPr>
      </w:pPr>
    </w:p>
    <w:bookmarkEnd w:id="0"/>
    <w:bookmarkEnd w:id="1"/>
    <w:p w:rsidR="00FD1D98" w:rsidRPr="00596C28" w:rsidRDefault="00FD1D98" w:rsidP="00131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596C28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</w:t>
      </w:r>
      <w:r w:rsidR="00571332" w:rsidRPr="00596C28">
        <w:rPr>
          <w:sz w:val="28"/>
          <w:szCs w:val="28"/>
        </w:rPr>
        <w:t>, федеральных территорий</w:t>
      </w:r>
      <w:r w:rsidR="001D4507" w:rsidRPr="00596C28">
        <w:rPr>
          <w:sz w:val="28"/>
          <w:szCs w:val="28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596C28">
        <w:rPr>
          <w:sz w:val="28"/>
          <w:szCs w:val="28"/>
        </w:rPr>
        <w:t xml:space="preserve"> муниципальных правовых </w:t>
      </w:r>
      <w:r w:rsidR="00F72CCD" w:rsidRPr="00596C28">
        <w:rPr>
          <w:sz w:val="28"/>
          <w:szCs w:val="28"/>
        </w:rPr>
        <w:t>актов в</w:t>
      </w:r>
      <w:r w:rsidRPr="00596C28">
        <w:rPr>
          <w:sz w:val="28"/>
          <w:szCs w:val="28"/>
        </w:rPr>
        <w:t xml:space="preserve"> части, касающейся расходных обязательств муниципального образования.</w:t>
      </w:r>
    </w:p>
    <w:p w:rsidR="00132C69" w:rsidRDefault="00C01BB1" w:rsidP="00131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6C28">
        <w:rPr>
          <w:sz w:val="28"/>
          <w:szCs w:val="28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 w:rsidR="006D5E47">
        <w:rPr>
          <w:sz w:val="28"/>
          <w:szCs w:val="28"/>
        </w:rPr>
        <w:t>«</w:t>
      </w:r>
      <w:r w:rsidR="00741A60" w:rsidRPr="00C75B06">
        <w:rPr>
          <w:sz w:val="28"/>
          <w:szCs w:val="28"/>
        </w:rPr>
        <w:t>Об утверждении порядка предоставления субсидии на возмещение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оплату труда работников и начисления на оплату труда,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обеспечения и (или) лицензии на программное обеспечение, расходных материалов, игр, игрушек (за исключением расходов на содержание зданий и оплату коммунальных услуг), услуги связи в части предоставления доступа к сети Интернет</w:t>
      </w:r>
      <w:r w:rsidR="000F2A2E" w:rsidRPr="000F2A2E">
        <w:rPr>
          <w:sz w:val="28"/>
          <w:szCs w:val="28"/>
        </w:rPr>
        <w:t>»</w:t>
      </w:r>
      <w:r w:rsidR="00132C69">
        <w:rPr>
          <w:sz w:val="28"/>
          <w:szCs w:val="28"/>
        </w:rPr>
        <w:t xml:space="preserve"> (далее – </w:t>
      </w:r>
      <w:r w:rsidR="00872A71">
        <w:rPr>
          <w:sz w:val="28"/>
          <w:szCs w:val="28"/>
        </w:rPr>
        <w:t xml:space="preserve">Проект, </w:t>
      </w:r>
      <w:r w:rsidR="00132C69">
        <w:rPr>
          <w:sz w:val="28"/>
          <w:szCs w:val="28"/>
        </w:rPr>
        <w:t>Порядок).</w:t>
      </w:r>
    </w:p>
    <w:p w:rsidR="00424C44" w:rsidRDefault="00424C44" w:rsidP="00131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</w:t>
      </w:r>
      <w:r w:rsidR="00134032">
        <w:rPr>
          <w:sz w:val="28"/>
          <w:szCs w:val="28"/>
        </w:rPr>
        <w:t>ти</w:t>
      </w:r>
      <w:r>
        <w:rPr>
          <w:sz w:val="28"/>
          <w:szCs w:val="28"/>
        </w:rPr>
        <w:t>ть, что в муниципальном образовании имеется действующий П</w:t>
      </w:r>
      <w:r w:rsidRPr="005629AD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5629AD">
        <w:rPr>
          <w:sz w:val="28"/>
          <w:szCs w:val="28"/>
        </w:rPr>
        <w:t>к предоставления субсидий на возмещение</w:t>
      </w:r>
      <w:r>
        <w:rPr>
          <w:sz w:val="28"/>
          <w:szCs w:val="28"/>
        </w:rPr>
        <w:t xml:space="preserve"> </w:t>
      </w:r>
      <w:r w:rsidRPr="005629AD">
        <w:rPr>
          <w:sz w:val="28"/>
          <w:szCs w:val="28"/>
        </w:rPr>
        <w:t xml:space="preserve">затрат частным организациям, осуществляющим образовательную деятельность по реализации образовательных </w:t>
      </w:r>
      <w:r w:rsidRPr="005629AD">
        <w:rPr>
          <w:sz w:val="28"/>
          <w:szCs w:val="28"/>
        </w:rPr>
        <w:lastRenderedPageBreak/>
        <w:t>программ дошкольного образования, на создание условий для осуществления присмотра и ухода за детьми и содержание детей в частных организациях 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расположенным на территории города Нефтеюганска</w:t>
      </w:r>
      <w:r>
        <w:rPr>
          <w:sz w:val="28"/>
          <w:szCs w:val="28"/>
        </w:rPr>
        <w:t>, утверждённый постановлением администрации города Нефтеюганска от 18.12.2017 № 220-нп.</w:t>
      </w:r>
    </w:p>
    <w:p w:rsidR="00424C44" w:rsidRDefault="00424C44" w:rsidP="00131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принятии решения об утверждении Порядка необходимо принять решение в отношении действия вышеуказанного постановления администрации города Нефтеюганска.  </w:t>
      </w:r>
    </w:p>
    <w:p w:rsidR="00872A71" w:rsidRDefault="00872A71" w:rsidP="00131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экспертизы установлено следующее:</w:t>
      </w:r>
    </w:p>
    <w:p w:rsidR="00EE01FD" w:rsidRPr="00EE01FD" w:rsidRDefault="00EE01FD" w:rsidP="00131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 xml:space="preserve">1. В преамбуле Проекта, абзаце втором пункта 1.1, абзаце втором пункта 1.2 имеются ссылки на решение Думы города Нефтеюганска от 20.12.2023 № 459-VII «О бюджете города Нефтеюганска на 2024 год и плановый период 2025 и 2026 годов». При этом вероятная дата утверждения Проекта и предоставление субсидий в нём предусмотренных, выпадает на период, когда указанное решение Думы города утратит юридическую силу. На основании изложенного, представляется нецелесообразным наличие в Проекте ссылок на указанный муниципальный правовой акт.  </w:t>
      </w:r>
    </w:p>
    <w:p w:rsidR="00EE01FD" w:rsidRPr="00EE01FD" w:rsidRDefault="00EE01FD" w:rsidP="001311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2. В соответствии подпунктом 3 пункта 2 статьи 78 Бюджетного кодекса Российской Федерации субсидии юридическим лицам (за исключением субсидий государственным (муниципальным) учреждениям, а также субсидий, указанных в </w:t>
      </w:r>
      <w:hyperlink r:id="rId9" w:anchor="/document/12112604/entry/786" w:history="1">
        <w:r w:rsidRPr="00EE01FD">
          <w:rPr>
            <w:sz w:val="28"/>
            <w:szCs w:val="28"/>
          </w:rPr>
          <w:t>пунктах 6 - 8.1</w:t>
        </w:r>
      </w:hyperlink>
      <w:r w:rsidRPr="00EE01FD">
        <w:rPr>
          <w:sz w:val="28"/>
          <w:szCs w:val="28"/>
        </w:rPr>
        <w:t> указанной статьи), индивидуальным предпринимателям, а также физическим лицам - производителям товаров, работ, услуг предоставляются из местного бюджета в случаях, предусмотренных решением представительного органа муниципального образования о местном бюджете, в порядке, установленном муниципальными правовыми актами местной администрации или актами уполномоченных ею органов местного самоуправления.</w:t>
      </w:r>
    </w:p>
    <w:p w:rsidR="00EE01FD" w:rsidRPr="00EE01FD" w:rsidRDefault="00EE01FD" w:rsidP="00131196">
      <w:pPr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Согласно пункту 3 статьи 78 БК РФ муниципальные правовые акты, регулирующие предоставление субсидий, должны соответствовать </w:t>
      </w:r>
      <w:hyperlink r:id="rId10" w:anchor="/document/407967939/entry/1000" w:history="1">
        <w:r w:rsidRPr="00EE01FD">
          <w:rPr>
            <w:sz w:val="28"/>
            <w:szCs w:val="28"/>
          </w:rPr>
          <w:t>общим требованиям</w:t>
        </w:r>
      </w:hyperlink>
      <w:r w:rsidRPr="00EE01FD">
        <w:rPr>
          <w:sz w:val="28"/>
          <w:szCs w:val="28"/>
        </w:rPr>
        <w:t>, установленным Правительством Российской Федерации.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Общие требования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 утверждены Постановлением Правительства Российской Федерации от 25.10.2023 № 1782 (далее – Общие требования).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 xml:space="preserve">Таким образом, утверждение Порядка с несоблюдением Общих требований повлечёт нарушение пункта 3 статьи 78 БК РФ. 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Установлено отсутствие в Порядке отдельных положений, предусмотренных Общими требованиями, а именно:</w:t>
      </w:r>
      <w:r w:rsidRPr="00EE01FD">
        <w:rPr>
          <w:sz w:val="28"/>
          <w:szCs w:val="28"/>
        </w:rPr>
        <w:tab/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а) в соответствии с пунктом 20 Общих требований в целях определения порядка проведения отбора в правовом акте указывается: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lastRenderedPageBreak/>
        <w:t>- порядок взаимодействия участников отбора и главного распорядителя бюджетных средств, с использованием документов в электронной форме (подпунктом «б»);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- порядок и случаи отмены проведения отбора, случаи признания отбора несостоявшимся (подпункт «м»);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б) в соответствии с пунктом 21 Общих требований в целях определения требований к размещению и содержанию объявления о проведении отбора в правовом акте указываются: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- категории и (или) критерии отбора (подпункт «з»);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- объём распределяемой субсидии в рамках отбора, порядок расчёта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 (подпункт «р»);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в) в соответствии с пунктом 22 Общих требований в целях определения требований к рассмотрению и оценке заявок в правовом акте указывается в качестве причины отклонения заявки является: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- непредставление (представление не в полном объёме) документов, указанных в объявлении о проведении отбора, предусмотренных правовым актом.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Рекомендуем устранить замечания.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 xml:space="preserve">3. Пунктом 2.2.2 Порядка установлены дополнительные требования к участникам отбора, такие как наличие опыта, кадрового состава, материально-технической базы, необходимых для достижения результатов предоставления субсидии. При этом информация о критериях, по которым будут оцениваться участники отбора с учётом дополнительных требований в Порядке отсутствует. </w:t>
      </w:r>
      <w:r w:rsidRPr="00EE01FD">
        <w:rPr>
          <w:sz w:val="28"/>
          <w:szCs w:val="28"/>
        </w:rPr>
        <w:tab/>
        <w:t>Следует отметить, что отсутствие или неопределённость условий, или оснований принятия решения могут быть расценены как коррупциогенные факторы (</w:t>
      </w:r>
      <w:proofErr w:type="spellStart"/>
      <w:r w:rsidRPr="00EE01FD">
        <w:rPr>
          <w:sz w:val="28"/>
          <w:szCs w:val="28"/>
        </w:rPr>
        <w:t>пп</w:t>
      </w:r>
      <w:proofErr w:type="spellEnd"/>
      <w:r w:rsidRPr="00EE01FD">
        <w:rPr>
          <w:sz w:val="28"/>
          <w:szCs w:val="28"/>
        </w:rPr>
        <w:t>. «а» п. 3 Методики проведения антикоррупционной экспертизы нормативных правовых актов и проектов нормативных правовых актов, утверждённой </w:t>
      </w:r>
      <w:hyperlink r:id="rId11" w:anchor="/document/197633/entry/0" w:history="1">
        <w:r w:rsidRPr="00EE01FD">
          <w:rPr>
            <w:sz w:val="28"/>
            <w:szCs w:val="28"/>
          </w:rPr>
          <w:t>постановлением</w:t>
        </w:r>
      </w:hyperlink>
      <w:r w:rsidRPr="00EE01FD">
        <w:rPr>
          <w:sz w:val="28"/>
          <w:szCs w:val="28"/>
        </w:rPr>
        <w:t> Правительства Российской Федерации от 26.02.2010 № 96).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 xml:space="preserve">Рекомендуем устранить замечание.  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 xml:space="preserve">4. В соответствии с пунктом 3.5.1 Порядка, для получения субсидии в очередном финансовом году получатель субсидии предоставляет в департамент заявку на предоставление субсидии ежемесячно до 10-го числа месяца, следующего за отчётным. 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Понятия текущего и отчётного финансовых годов содержатся в статье 6 БК РФ, а именно: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- текущий финансовый год 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  <w:r w:rsidRPr="00EE01FD">
        <w:rPr>
          <w:sz w:val="28"/>
          <w:szCs w:val="28"/>
        </w:rPr>
        <w:tab/>
      </w:r>
    </w:p>
    <w:p w:rsidR="00EE01FD" w:rsidRPr="00EE01FD" w:rsidRDefault="00131196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01FD" w:rsidRPr="00EE01FD">
        <w:rPr>
          <w:sz w:val="28"/>
          <w:szCs w:val="28"/>
        </w:rPr>
        <w:t xml:space="preserve">очередной финансовый год - год, следующий за текущим финансовым годом. 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Таким образом</w:t>
      </w:r>
      <w:proofErr w:type="gramStart"/>
      <w:r w:rsidR="00131196" w:rsidRPr="00EE01FD">
        <w:rPr>
          <w:sz w:val="28"/>
          <w:szCs w:val="28"/>
        </w:rPr>
        <w:t xml:space="preserve">, </w:t>
      </w:r>
      <w:r w:rsidR="00131196">
        <w:rPr>
          <w:sz w:val="28"/>
          <w:szCs w:val="28"/>
        </w:rPr>
        <w:t>П</w:t>
      </w:r>
      <w:r w:rsidR="00131196" w:rsidRPr="00EE01FD">
        <w:rPr>
          <w:sz w:val="28"/>
          <w:szCs w:val="28"/>
        </w:rPr>
        <w:t>орядком</w:t>
      </w:r>
      <w:proofErr w:type="gramEnd"/>
      <w:r w:rsidRPr="00EE01FD">
        <w:rPr>
          <w:sz w:val="28"/>
          <w:szCs w:val="28"/>
        </w:rPr>
        <w:t xml:space="preserve"> предусмотрено обращение получателя субсидии за получением субсидии только в очередном финансовом году, тогда как отбор </w:t>
      </w:r>
      <w:r w:rsidRPr="00EE01FD">
        <w:rPr>
          <w:sz w:val="28"/>
          <w:szCs w:val="28"/>
        </w:rPr>
        <w:lastRenderedPageBreak/>
        <w:t>получателей субсидии, в целях исполнения бюджета, может быть проведён и в начале текущего финансового года.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Рекомендуем устранить замечание.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5. В пунктах 3.5.4 и 3.5.5 Порядка содержатся положения о сроках проверки главным распорядителем бюджетных средств, предоставленных получателем субсидии документов в целях получения субсидии. Указанные пункты отчасти дублируют друг друга. В тоже время в пункте 3.5.5 отсутствует информация о начале течения срока.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Рекомендуем устранить замечание.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6. Пунктом 5.3 Порядка в качестве меры ответственности за нарушение условий предоставления субсидий предусмотрено применение штрафных санкций к получателю субсидии, при этом порядок применения и их размеры отсутствуют.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Рекомендуем устранить замечание.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7. Пунктом 5.5 Порядка предусмотрены сроки принятия главным распорядителем бюджетных средств решения о возврате субсидии, а также возврата субсидии её получателем. При этом срок, в течение которого в адрес получателя субсидии направляется требование о возврате субсидии в Порядке отсутствует.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 xml:space="preserve">Кроме того, в указанном пункте Порядка в качестве начала течения срока принятия решения о возврате субсидии определён момент возникновения случаев, предусмотренных пунктом 5.2.1 Порядка.  </w:t>
      </w:r>
    </w:p>
    <w:p w:rsidR="00EE01FD" w:rsidRPr="00EE01FD" w:rsidRDefault="00EE01FD" w:rsidP="00131196">
      <w:pPr>
        <w:shd w:val="clear" w:color="auto" w:fill="FFFFFF"/>
        <w:ind w:firstLine="709"/>
        <w:jc w:val="both"/>
        <w:rPr>
          <w:sz w:val="28"/>
          <w:szCs w:val="28"/>
        </w:rPr>
      </w:pPr>
      <w:r w:rsidRPr="00EE01FD">
        <w:rPr>
          <w:sz w:val="28"/>
          <w:szCs w:val="28"/>
        </w:rPr>
        <w:t>Так как случаи, предусмотренные пунктом 5.2.1 Порядка, могут быть установлены по результатам контроля за соблюдением условий и порядка предоставления субсидий, рекомендуем в пункте 5.5 слово «возникновения» заменить словом «выявления».</w:t>
      </w:r>
    </w:p>
    <w:p w:rsidR="00FF7999" w:rsidRPr="005558E1" w:rsidRDefault="00FF7999" w:rsidP="00131196">
      <w:pPr>
        <w:pStyle w:val="empt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Pr="005558E1">
        <w:rPr>
          <w:sz w:val="28"/>
          <w:szCs w:val="28"/>
        </w:rPr>
        <w:t xml:space="preserve">формацию о решениях, принятых по результатам настоящей экспертизы, необходимо предоставить в адрес Счётной палаты до </w:t>
      </w:r>
      <w:r w:rsidR="00A51B7A">
        <w:rPr>
          <w:sz w:val="28"/>
          <w:szCs w:val="28"/>
        </w:rPr>
        <w:t>17</w:t>
      </w:r>
      <w:r w:rsidR="005629AD">
        <w:rPr>
          <w:sz w:val="28"/>
          <w:szCs w:val="28"/>
        </w:rPr>
        <w:t>.</w:t>
      </w:r>
      <w:r w:rsidRPr="005558E1">
        <w:rPr>
          <w:sz w:val="28"/>
          <w:szCs w:val="28"/>
        </w:rPr>
        <w:t>0</w:t>
      </w:r>
      <w:r w:rsidR="00A51B7A">
        <w:rPr>
          <w:sz w:val="28"/>
          <w:szCs w:val="28"/>
        </w:rPr>
        <w:t>1</w:t>
      </w:r>
      <w:r w:rsidRPr="005558E1">
        <w:rPr>
          <w:sz w:val="28"/>
          <w:szCs w:val="28"/>
        </w:rPr>
        <w:t>.202</w:t>
      </w:r>
      <w:r w:rsidR="00A51B7A">
        <w:rPr>
          <w:sz w:val="28"/>
          <w:szCs w:val="28"/>
        </w:rPr>
        <w:t>5</w:t>
      </w:r>
      <w:r w:rsidRPr="005558E1">
        <w:rPr>
          <w:sz w:val="28"/>
          <w:szCs w:val="28"/>
        </w:rPr>
        <w:t>.</w:t>
      </w:r>
    </w:p>
    <w:p w:rsidR="00FF7999" w:rsidRDefault="00FF7999" w:rsidP="00424C44">
      <w:pPr>
        <w:tabs>
          <w:tab w:val="left" w:pos="0"/>
        </w:tabs>
        <w:jc w:val="both"/>
        <w:rPr>
          <w:sz w:val="28"/>
          <w:szCs w:val="28"/>
        </w:rPr>
      </w:pPr>
    </w:p>
    <w:p w:rsidR="00FF7999" w:rsidRPr="001640E3" w:rsidRDefault="00FF7999" w:rsidP="00424C44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596C28" w:rsidRDefault="005629AD" w:rsidP="00424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C28">
        <w:rPr>
          <w:sz w:val="28"/>
          <w:szCs w:val="28"/>
        </w:rPr>
        <w:t>П</w:t>
      </w:r>
      <w:r w:rsidR="00C17111" w:rsidRPr="00596C28">
        <w:rPr>
          <w:sz w:val="28"/>
          <w:szCs w:val="28"/>
        </w:rPr>
        <w:t>редседател</w:t>
      </w:r>
      <w:r w:rsidRPr="00596C28">
        <w:rPr>
          <w:sz w:val="28"/>
          <w:szCs w:val="28"/>
        </w:rPr>
        <w:t>ь</w:t>
      </w:r>
      <w:r w:rsidR="00C17111" w:rsidRPr="00596C28">
        <w:rPr>
          <w:sz w:val="28"/>
          <w:szCs w:val="28"/>
        </w:rPr>
        <w:t xml:space="preserve">         </w:t>
      </w:r>
      <w:r w:rsidR="00566BEB" w:rsidRPr="00596C28">
        <w:rPr>
          <w:sz w:val="28"/>
          <w:szCs w:val="28"/>
        </w:rPr>
        <w:t xml:space="preserve">          </w:t>
      </w:r>
      <w:r w:rsidR="00CF0DFA" w:rsidRPr="00596C28">
        <w:rPr>
          <w:sz w:val="28"/>
          <w:szCs w:val="28"/>
        </w:rPr>
        <w:t xml:space="preserve">         </w:t>
      </w:r>
      <w:r w:rsidR="00857C83" w:rsidRPr="00596C28">
        <w:rPr>
          <w:sz w:val="28"/>
          <w:szCs w:val="28"/>
        </w:rPr>
        <w:t xml:space="preserve"> </w:t>
      </w:r>
      <w:r w:rsidR="00031B1E" w:rsidRPr="00596C28">
        <w:rPr>
          <w:sz w:val="28"/>
          <w:szCs w:val="28"/>
        </w:rPr>
        <w:t xml:space="preserve">    </w:t>
      </w:r>
      <w:r w:rsidR="00857C83" w:rsidRPr="00596C28">
        <w:rPr>
          <w:sz w:val="28"/>
          <w:szCs w:val="28"/>
        </w:rPr>
        <w:t xml:space="preserve">         </w:t>
      </w:r>
      <w:r w:rsidR="003978BB" w:rsidRPr="00596C28">
        <w:rPr>
          <w:sz w:val="28"/>
          <w:szCs w:val="28"/>
        </w:rPr>
        <w:t xml:space="preserve">      </w:t>
      </w:r>
      <w:r w:rsidR="00857C83" w:rsidRPr="00596C28">
        <w:rPr>
          <w:sz w:val="28"/>
          <w:szCs w:val="28"/>
        </w:rPr>
        <w:t xml:space="preserve">  </w:t>
      </w:r>
      <w:r w:rsidR="00396D74" w:rsidRPr="00596C28">
        <w:rPr>
          <w:sz w:val="28"/>
          <w:szCs w:val="28"/>
        </w:rPr>
        <w:t xml:space="preserve"> </w:t>
      </w:r>
      <w:r w:rsidR="005814B5" w:rsidRPr="00596C28">
        <w:rPr>
          <w:sz w:val="28"/>
          <w:szCs w:val="28"/>
        </w:rPr>
        <w:t xml:space="preserve">        </w:t>
      </w:r>
      <w:r w:rsidR="00C17111" w:rsidRPr="00596C28">
        <w:rPr>
          <w:sz w:val="28"/>
          <w:szCs w:val="28"/>
        </w:rPr>
        <w:t xml:space="preserve"> </w:t>
      </w:r>
      <w:r w:rsidRPr="00596C28">
        <w:rPr>
          <w:sz w:val="28"/>
          <w:szCs w:val="28"/>
        </w:rPr>
        <w:t xml:space="preserve">                          С.А. Гичкина</w:t>
      </w:r>
    </w:p>
    <w:p w:rsidR="00474F96" w:rsidRDefault="00031B1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51130A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Инспектор инспекторского отдела № 2</w:t>
      </w:r>
    </w:p>
    <w:p w:rsidR="008E702E" w:rsidRDefault="0051130A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Антонова Анжелика Альбертовна </w:t>
      </w:r>
    </w:p>
    <w:p w:rsidR="008E702E" w:rsidRPr="008E702E" w:rsidRDefault="008E702E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20305</w:t>
      </w:r>
      <w:r w:rsidR="0051130A">
        <w:rPr>
          <w:rFonts w:eastAsiaTheme="minorHAnsi"/>
          <w:sz w:val="20"/>
          <w:szCs w:val="20"/>
          <w:lang w:eastAsia="en-US"/>
        </w:rPr>
        <w:t>6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120268">
      <w:headerReference w:type="default" r:id="rId12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029D" w:rsidRDefault="001E029D" w:rsidP="00C456A5">
      <w:r>
        <w:separator/>
      </w:r>
    </w:p>
  </w:endnote>
  <w:endnote w:type="continuationSeparator" w:id="0">
    <w:p w:rsidR="001E029D" w:rsidRDefault="001E029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029D" w:rsidRDefault="001E029D" w:rsidP="00C456A5">
      <w:r>
        <w:separator/>
      </w:r>
    </w:p>
  </w:footnote>
  <w:footnote w:type="continuationSeparator" w:id="0">
    <w:p w:rsidR="001E029D" w:rsidRDefault="001E029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BD301E" w:rsidRDefault="00BD30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3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D301E" w:rsidRDefault="00BD3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2B78"/>
    <w:rsid w:val="000231C2"/>
    <w:rsid w:val="00023F52"/>
    <w:rsid w:val="00024C5F"/>
    <w:rsid w:val="00027651"/>
    <w:rsid w:val="00027FD7"/>
    <w:rsid w:val="000305F9"/>
    <w:rsid w:val="00031B1E"/>
    <w:rsid w:val="00031D0F"/>
    <w:rsid w:val="00031DBE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5D5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2A2E"/>
    <w:rsid w:val="000F5659"/>
    <w:rsid w:val="000F61BE"/>
    <w:rsid w:val="000F7C2D"/>
    <w:rsid w:val="00101F98"/>
    <w:rsid w:val="00104DBB"/>
    <w:rsid w:val="00106A8D"/>
    <w:rsid w:val="00106E33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196"/>
    <w:rsid w:val="001319A8"/>
    <w:rsid w:val="00132C69"/>
    <w:rsid w:val="00133582"/>
    <w:rsid w:val="00134032"/>
    <w:rsid w:val="0014465B"/>
    <w:rsid w:val="001458F7"/>
    <w:rsid w:val="00146112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3B5E"/>
    <w:rsid w:val="0018720D"/>
    <w:rsid w:val="00187631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A7FB5"/>
    <w:rsid w:val="001B03D5"/>
    <w:rsid w:val="001B1231"/>
    <w:rsid w:val="001B3BD3"/>
    <w:rsid w:val="001B3E52"/>
    <w:rsid w:val="001B40B6"/>
    <w:rsid w:val="001B488D"/>
    <w:rsid w:val="001B4A26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029D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535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2A5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08D9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4B"/>
    <w:rsid w:val="00324AAA"/>
    <w:rsid w:val="00324D61"/>
    <w:rsid w:val="003306C6"/>
    <w:rsid w:val="00330F5D"/>
    <w:rsid w:val="003323B1"/>
    <w:rsid w:val="00332C6D"/>
    <w:rsid w:val="003344DE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1DE6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13E"/>
    <w:rsid w:val="00420714"/>
    <w:rsid w:val="00421479"/>
    <w:rsid w:val="00421BA4"/>
    <w:rsid w:val="00421BDC"/>
    <w:rsid w:val="00422831"/>
    <w:rsid w:val="00422C33"/>
    <w:rsid w:val="0042310B"/>
    <w:rsid w:val="0042496B"/>
    <w:rsid w:val="00424C44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5A61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74CF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D79FD"/>
    <w:rsid w:val="004E5F3A"/>
    <w:rsid w:val="004E67B3"/>
    <w:rsid w:val="004F05C2"/>
    <w:rsid w:val="004F4288"/>
    <w:rsid w:val="0050127F"/>
    <w:rsid w:val="005019EC"/>
    <w:rsid w:val="00501C67"/>
    <w:rsid w:val="00502CCA"/>
    <w:rsid w:val="005033A2"/>
    <w:rsid w:val="00503597"/>
    <w:rsid w:val="00507E96"/>
    <w:rsid w:val="00510A44"/>
    <w:rsid w:val="00510F18"/>
    <w:rsid w:val="0051130A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37481"/>
    <w:rsid w:val="00540EAF"/>
    <w:rsid w:val="005419DC"/>
    <w:rsid w:val="00543986"/>
    <w:rsid w:val="0054566E"/>
    <w:rsid w:val="00551355"/>
    <w:rsid w:val="00551377"/>
    <w:rsid w:val="0055155F"/>
    <w:rsid w:val="00551C4F"/>
    <w:rsid w:val="00552475"/>
    <w:rsid w:val="005524EE"/>
    <w:rsid w:val="0055284F"/>
    <w:rsid w:val="00552A9E"/>
    <w:rsid w:val="00553AA3"/>
    <w:rsid w:val="00555093"/>
    <w:rsid w:val="005558E1"/>
    <w:rsid w:val="00561222"/>
    <w:rsid w:val="005629AD"/>
    <w:rsid w:val="00564C78"/>
    <w:rsid w:val="00565739"/>
    <w:rsid w:val="00566BEB"/>
    <w:rsid w:val="005670A0"/>
    <w:rsid w:val="0056748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3BA2"/>
    <w:rsid w:val="00584602"/>
    <w:rsid w:val="00585EF7"/>
    <w:rsid w:val="00587A58"/>
    <w:rsid w:val="00595BC8"/>
    <w:rsid w:val="00596786"/>
    <w:rsid w:val="00596C28"/>
    <w:rsid w:val="00597078"/>
    <w:rsid w:val="0059796D"/>
    <w:rsid w:val="005A2096"/>
    <w:rsid w:val="005A2D8D"/>
    <w:rsid w:val="005A3B64"/>
    <w:rsid w:val="005A43F2"/>
    <w:rsid w:val="005A547C"/>
    <w:rsid w:val="005A715F"/>
    <w:rsid w:val="005B10C4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6D46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74C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A3F"/>
    <w:rsid w:val="00604B69"/>
    <w:rsid w:val="00605EF9"/>
    <w:rsid w:val="00606713"/>
    <w:rsid w:val="00607E27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3FFC"/>
    <w:rsid w:val="006741F7"/>
    <w:rsid w:val="006800D5"/>
    <w:rsid w:val="006804C7"/>
    <w:rsid w:val="00684036"/>
    <w:rsid w:val="006861FC"/>
    <w:rsid w:val="00690896"/>
    <w:rsid w:val="00692203"/>
    <w:rsid w:val="00692C4E"/>
    <w:rsid w:val="0069501B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37C5"/>
    <w:rsid w:val="006D5004"/>
    <w:rsid w:val="006D5E47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07B1"/>
    <w:rsid w:val="00741A60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063C"/>
    <w:rsid w:val="007723D2"/>
    <w:rsid w:val="00774816"/>
    <w:rsid w:val="00774B14"/>
    <w:rsid w:val="00774FB8"/>
    <w:rsid w:val="00776AA9"/>
    <w:rsid w:val="00780E77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43C9"/>
    <w:rsid w:val="00805DD9"/>
    <w:rsid w:val="00806B3C"/>
    <w:rsid w:val="00810740"/>
    <w:rsid w:val="00810C00"/>
    <w:rsid w:val="00810C7D"/>
    <w:rsid w:val="00811080"/>
    <w:rsid w:val="0081229F"/>
    <w:rsid w:val="00813040"/>
    <w:rsid w:val="00813982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2A71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074D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8F7452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4CA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3F9"/>
    <w:rsid w:val="00A2677E"/>
    <w:rsid w:val="00A27146"/>
    <w:rsid w:val="00A33FE5"/>
    <w:rsid w:val="00A358AA"/>
    <w:rsid w:val="00A365FA"/>
    <w:rsid w:val="00A37AA8"/>
    <w:rsid w:val="00A45456"/>
    <w:rsid w:val="00A506F5"/>
    <w:rsid w:val="00A51B7A"/>
    <w:rsid w:val="00A51D79"/>
    <w:rsid w:val="00A548A7"/>
    <w:rsid w:val="00A567F3"/>
    <w:rsid w:val="00A635CB"/>
    <w:rsid w:val="00A64FCB"/>
    <w:rsid w:val="00A65E7C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17F31"/>
    <w:rsid w:val="00B20BC4"/>
    <w:rsid w:val="00B20BE4"/>
    <w:rsid w:val="00B23B69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1FAA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918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301E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86A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3C92"/>
    <w:rsid w:val="00C7594F"/>
    <w:rsid w:val="00C75B06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6958"/>
    <w:rsid w:val="00D8767E"/>
    <w:rsid w:val="00D91100"/>
    <w:rsid w:val="00D91FC3"/>
    <w:rsid w:val="00D91FDC"/>
    <w:rsid w:val="00D929BE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51B9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954"/>
    <w:rsid w:val="00DD6A79"/>
    <w:rsid w:val="00DE10DD"/>
    <w:rsid w:val="00DE143A"/>
    <w:rsid w:val="00DE3F53"/>
    <w:rsid w:val="00DE4393"/>
    <w:rsid w:val="00DF188A"/>
    <w:rsid w:val="00DF1D7C"/>
    <w:rsid w:val="00DF1EF3"/>
    <w:rsid w:val="00DF212C"/>
    <w:rsid w:val="00DF28F0"/>
    <w:rsid w:val="00DF2AE7"/>
    <w:rsid w:val="00DF7766"/>
    <w:rsid w:val="00DF7984"/>
    <w:rsid w:val="00E00305"/>
    <w:rsid w:val="00E00ACF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3D7B"/>
    <w:rsid w:val="00EB0097"/>
    <w:rsid w:val="00EB0A54"/>
    <w:rsid w:val="00EB16F3"/>
    <w:rsid w:val="00EB1A91"/>
    <w:rsid w:val="00EB1CE9"/>
    <w:rsid w:val="00EB30A2"/>
    <w:rsid w:val="00EB529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01FD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30DF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6B2E"/>
    <w:rsid w:val="00F17070"/>
    <w:rsid w:val="00F179E8"/>
    <w:rsid w:val="00F221D8"/>
    <w:rsid w:val="00F246A7"/>
    <w:rsid w:val="00F24D43"/>
    <w:rsid w:val="00F251C6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2CCD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0E4E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262E"/>
  <w15:docId w15:val="{70AB6A09-92BC-4687-9945-282828FD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95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58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6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260AB-E53E-42F7-8CF7-1163560D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52</cp:revision>
  <cp:lastPrinted>2024-12-27T04:54:00Z</cp:lastPrinted>
  <dcterms:created xsi:type="dcterms:W3CDTF">2024-07-03T11:20:00Z</dcterms:created>
  <dcterms:modified xsi:type="dcterms:W3CDTF">2025-01-17T08:05:00Z</dcterms:modified>
</cp:coreProperties>
</file>