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720B15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  <w:r w:rsidR="00C06D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6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5F0B96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371B0E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</w:t>
      </w:r>
      <w:r w:rsidR="002433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371B0E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4 170 587 600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ей;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5257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14 937 521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698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95B1E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766 934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098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371B0E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5622C" w:rsidRPr="0035622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143 926 374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3 007 891 757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рублей,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утвержденные расходы на 202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57 114 774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6 592 357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внутреннего долга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5)объем расходов на обслуживание муниципального внутреннего долга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0 рублей, на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0A5553" w:rsidRPr="00371B0E" w:rsidRDefault="000A5553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371B0E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371B0E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651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90 929 500</w:t>
      </w:r>
      <w:r w:rsidR="004367C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28 261 400</w:t>
      </w:r>
      <w:r w:rsidR="00396B7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28 261 400</w:t>
      </w:r>
      <w:r w:rsidR="000C262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5200C1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877047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8 238 511 4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77047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 472 621 600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C4038" w:rsidRPr="00371B0E" w:rsidRDefault="0087704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</w:t>
      </w:r>
      <w:r w:rsidR="00DC403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 282 071 700</w:t>
      </w:r>
      <w:r w:rsidR="001D5B0A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0A5553" w:rsidRPr="00371B0E" w:rsidRDefault="000C701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11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4034C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0 000 000</w:t>
      </w:r>
      <w:r w:rsidR="00981AE2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90462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90462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A498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12. Утвердить в составе расходов бюджета города Нефтеюганска бюджетные ассигнования, </w:t>
      </w:r>
      <w:r w:rsidRPr="0054021F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иным о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бразом зарезервированные, на 202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284A5B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136 184 354</w:t>
      </w:r>
      <w:r w:rsidR="00DA5014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рубля,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5B0A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173 571 735 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2027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5B0A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69 520 735</w:t>
      </w:r>
      <w:r w:rsidR="00DA5014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на: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</w:t>
      </w:r>
      <w:r w:rsid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25 476 120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20 000 000 рублей, на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FF32B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25 </w:t>
      </w:r>
      <w:r w:rsidR="00284A5B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464 9</w:t>
      </w:r>
      <w:r w:rsidR="00FF32B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12 000 000 рублей,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12 000 000 рублей;</w:t>
      </w:r>
    </w:p>
    <w:p w:rsidR="004E4325" w:rsidRPr="00C75734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ниципальной собственности в 2025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85 243 334 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я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в 202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рублей, в 202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026A1C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57 520 735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рублей.</w:t>
      </w:r>
    </w:p>
    <w:p w:rsidR="000A5553" w:rsidRPr="00803904" w:rsidRDefault="008466E1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4591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 w:rsidR="000A5553"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 Нефтеюганск: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1)на 202</w:t>
      </w:r>
      <w:r w:rsidR="007E1535" w:rsidRPr="00803904">
        <w:rPr>
          <w:rFonts w:ascii="Times New Roman" w:hAnsi="Times New Roman" w:cs="Times New Roman"/>
          <w:sz w:val="27"/>
          <w:szCs w:val="27"/>
        </w:rPr>
        <w:t>5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642 569 986</w:t>
      </w:r>
      <w:r w:rsidR="00E1015E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Pr="00803904">
        <w:rPr>
          <w:rFonts w:ascii="Times New Roman" w:hAnsi="Times New Roman" w:cs="Times New Roman"/>
          <w:sz w:val="27"/>
          <w:szCs w:val="27"/>
        </w:rPr>
        <w:t>рубл</w:t>
      </w:r>
      <w:r w:rsidR="00D34267" w:rsidRPr="00803904">
        <w:rPr>
          <w:rFonts w:ascii="Times New Roman" w:hAnsi="Times New Roman" w:cs="Times New Roman"/>
          <w:sz w:val="27"/>
          <w:szCs w:val="27"/>
        </w:rPr>
        <w:t>ей</w:t>
      </w:r>
      <w:r w:rsidRPr="00803904">
        <w:rPr>
          <w:rFonts w:ascii="Times New Roman" w:hAnsi="Times New Roman" w:cs="Times New Roman"/>
          <w:sz w:val="27"/>
          <w:szCs w:val="27"/>
        </w:rPr>
        <w:t xml:space="preserve">;  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2)на 202</w:t>
      </w:r>
      <w:r w:rsidR="007E1535" w:rsidRPr="00803904">
        <w:rPr>
          <w:rFonts w:ascii="Times New Roman" w:hAnsi="Times New Roman" w:cs="Times New Roman"/>
          <w:sz w:val="27"/>
          <w:szCs w:val="27"/>
        </w:rPr>
        <w:t>6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614 936 521</w:t>
      </w:r>
      <w:r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Pr="00803904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3)на 2027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501 792 751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="005A4CCE" w:rsidRPr="00803904">
        <w:rPr>
          <w:rFonts w:ascii="Times New Roman" w:hAnsi="Times New Roman" w:cs="Times New Roman"/>
          <w:sz w:val="27"/>
          <w:szCs w:val="27"/>
        </w:rPr>
        <w:t>рубль</w:t>
      </w:r>
      <w:r w:rsidR="00D13C36" w:rsidRPr="00803904">
        <w:rPr>
          <w:rFonts w:ascii="Times New Roman" w:hAnsi="Times New Roman" w:cs="Times New Roman"/>
          <w:sz w:val="27"/>
          <w:szCs w:val="27"/>
        </w:rPr>
        <w:t>.</w:t>
      </w:r>
    </w:p>
    <w:p w:rsidR="00945912" w:rsidRPr="00803904" w:rsidRDefault="00945912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803904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803904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803904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80390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803904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</w:t>
      </w:r>
      <w:r w:rsidR="007E1535" w:rsidRPr="00803904">
        <w:rPr>
          <w:rFonts w:ascii="Times New Roman" w:hAnsi="Times New Roman" w:cs="Times New Roman"/>
          <w:sz w:val="27"/>
          <w:szCs w:val="27"/>
        </w:rPr>
        <w:t>5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455 706 956</w:t>
      </w:r>
      <w:r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D34267" w:rsidRPr="00803904">
        <w:rPr>
          <w:rFonts w:ascii="Times New Roman" w:hAnsi="Times New Roman" w:cs="Times New Roman"/>
          <w:sz w:val="27"/>
          <w:szCs w:val="27"/>
        </w:rPr>
        <w:t>ей</w:t>
      </w:r>
      <w:r w:rsidRPr="00803904">
        <w:rPr>
          <w:rFonts w:ascii="Times New Roman" w:hAnsi="Times New Roman" w:cs="Times New Roman"/>
          <w:sz w:val="27"/>
          <w:szCs w:val="27"/>
        </w:rPr>
        <w:t>;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</w:t>
      </w:r>
      <w:r w:rsidR="007E1535" w:rsidRPr="00803904">
        <w:rPr>
          <w:rFonts w:ascii="Times New Roman" w:hAnsi="Times New Roman" w:cs="Times New Roman"/>
          <w:sz w:val="27"/>
          <w:szCs w:val="27"/>
        </w:rPr>
        <w:t>6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434 226 431</w:t>
      </w:r>
      <w:r w:rsidR="00D34267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Pr="00803904">
        <w:rPr>
          <w:rFonts w:ascii="Times New Roman" w:hAnsi="Times New Roman" w:cs="Times New Roman"/>
          <w:sz w:val="27"/>
          <w:szCs w:val="27"/>
        </w:rPr>
        <w:t>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Pr="00803904">
        <w:rPr>
          <w:rFonts w:ascii="Times New Roman" w:hAnsi="Times New Roman" w:cs="Times New Roman"/>
          <w:sz w:val="27"/>
          <w:szCs w:val="27"/>
        </w:rPr>
        <w:t>;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2027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324 143 481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="00D13C36" w:rsidRPr="00803904">
        <w:rPr>
          <w:rFonts w:ascii="Times New Roman" w:hAnsi="Times New Roman" w:cs="Times New Roman"/>
          <w:sz w:val="27"/>
          <w:szCs w:val="27"/>
        </w:rPr>
        <w:t>.</w:t>
      </w:r>
    </w:p>
    <w:p w:rsidR="001469A5" w:rsidRPr="00371B0E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BA33F8"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803904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803904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803904">
        <w:rPr>
          <w:rFonts w:ascii="Times New Roman" w:eastAsia="Calibri" w:hAnsi="Times New Roman" w:cs="Times New Roman"/>
          <w:sz w:val="27"/>
          <w:szCs w:val="27"/>
        </w:rPr>
        <w:t>: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lastRenderedPageBreak/>
        <w:t>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371B0E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371B0E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371B0E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</w:p>
    <w:p w:rsidR="00191CB6" w:rsidRPr="00371B0E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371B0E">
        <w:rPr>
          <w:rFonts w:ascii="Times New Roman" w:eastAsia="Calibri" w:hAnsi="Times New Roman" w:cs="Times New Roman"/>
          <w:sz w:val="27"/>
          <w:szCs w:val="27"/>
        </w:rPr>
        <w:t>5</w:t>
      </w:r>
      <w:r w:rsidRPr="00371B0E">
        <w:rPr>
          <w:rFonts w:ascii="Times New Roman" w:eastAsia="Calibri" w:hAnsi="Times New Roman" w:cs="Times New Roman"/>
          <w:sz w:val="27"/>
          <w:szCs w:val="27"/>
        </w:rPr>
        <w:t>.</w:t>
      </w:r>
      <w:r w:rsidR="00BA33F8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4728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 w:rsidR="001750EF" w:rsidRPr="001750EF">
        <w:rPr>
          <w:rFonts w:ascii="Times New Roman" w:eastAsia="Times New Roman" w:hAnsi="Times New Roman" w:cs="Times New Roman"/>
          <w:sz w:val="27"/>
          <w:szCs w:val="27"/>
          <w:lang w:eastAsia="ru-RU"/>
        </w:rPr>
        <w:t>, если иное не предусмотрено нормативными правовыми актами Правительства Российской Федерации</w:t>
      </w:r>
      <w:r w:rsidR="00E4728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</w:p>
    <w:p w:rsidR="00191CB6" w:rsidRPr="00371B0E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371B0E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D2054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возмещение затрат субъектам малого и среднего предпринимательства</w:t>
      </w:r>
      <w:r w:rsidR="006C5E41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развитие социального </w:t>
      </w:r>
      <w:r w:rsidR="00A2488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предпринимательства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территории города Нефтеюганска;</w:t>
      </w:r>
    </w:p>
    <w:p w:rsidR="00350741" w:rsidRPr="00AD2054" w:rsidRDefault="0082686F" w:rsidP="009A56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50741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работников,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D2054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6D0AC8" w:rsidRPr="00AD2054" w:rsidRDefault="006D0AC8" w:rsidP="006101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возмещение затрат сельхозтоваропроизводителям (за исключением личных подсобных хозяйств) на поддержку растениеводства;</w:t>
      </w:r>
    </w:p>
    <w:p w:rsidR="00191CB6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сель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хоз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товаропроизводителям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поддержку 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животноводства;</w:t>
      </w:r>
    </w:p>
    <w:p w:rsidR="008A27A9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A27A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 w:rsidR="006D42E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F127B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F6D4D" w:rsidRPr="00AD2054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71B0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 w:rsidR="000631E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 w:rsidR="00D13C3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13C36" w:rsidRPr="00AD2054" w:rsidRDefault="00E47281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A6F9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722A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 w:rsidR="00F63592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нск, 7 микрорайон (станция ВОС);</w:t>
      </w:r>
    </w:p>
    <w:p w:rsidR="00F63592" w:rsidRPr="00AD2054" w:rsidRDefault="00F63592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A6F9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услуг.</w:t>
      </w:r>
    </w:p>
    <w:p w:rsidR="008E3535" w:rsidRPr="00371B0E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371B0E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371B0E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AD2054" w:rsidRDefault="000A5553" w:rsidP="009A56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9" w:history="1">
        <w:r w:rsidR="009642E9" w:rsidRPr="00AD2054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приложении 14</w:t>
        </w:r>
      </w:hyperlink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постановлению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 w:rsidR="002F4A64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предоставление 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ч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астны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общеобразовательны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реализацию социально значимых проектов социально ориентированны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B3EC0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в каникулярное время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реализацию социально значимых проектов социально ориентированным некоммерческим организациям,</w:t>
      </w:r>
      <w:r w:rsidR="00840E9F" w:rsidRPr="00371B0E">
        <w:rPr>
          <w:rFonts w:ascii="Times New Roman" w:hAnsi="Times New Roman" w:cs="Times New Roman"/>
          <w:sz w:val="27"/>
          <w:szCs w:val="27"/>
        </w:rPr>
        <w:t xml:space="preserve"> </w:t>
      </w:r>
      <w:r w:rsidR="00840E9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Pr="002A71C3" w:rsidRDefault="003C21B3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A71C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2A71C3">
        <w:rPr>
          <w:rFonts w:ascii="Times New Roman" w:eastAsia="Calibri" w:hAnsi="Times New Roman" w:cs="Times New Roman"/>
          <w:sz w:val="27"/>
          <w:szCs w:val="27"/>
        </w:rPr>
        <w:t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723783" w:rsidRPr="002A71C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A564C1" w:rsidRPr="002A71C3" w:rsidRDefault="00A564C1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A71C3">
        <w:rPr>
          <w:rFonts w:ascii="Times New Roman" w:eastAsia="Calibri" w:hAnsi="Times New Roman" w:cs="Times New Roman"/>
          <w:sz w:val="27"/>
          <w:szCs w:val="27"/>
        </w:rPr>
        <w:t>8)</w:t>
      </w:r>
      <w:r w:rsidR="00723783" w:rsidRPr="002A71C3"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в связи с оказанием дополнительной помощи при возникновении неотложной необходимости в проведении </w:t>
      </w:r>
      <w:r w:rsidR="00723783" w:rsidRPr="002A71C3">
        <w:rPr>
          <w:rFonts w:ascii="Times New Roman" w:hAnsi="Times New Roman" w:cs="Times New Roman"/>
          <w:sz w:val="27"/>
          <w:szCs w:val="27"/>
        </w:rPr>
        <w:lastRenderedPageBreak/>
        <w:t>капитального ремонта общего имущества в многоквартирных домах, расположенных на территории города Нефтеюганска.</w:t>
      </w:r>
    </w:p>
    <w:p w:rsidR="00381B6F" w:rsidRPr="00371B0E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371B0E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371B0E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7EC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="000F7ECD" w:rsidRPr="00371B0E">
        <w:rPr>
          <w:rFonts w:ascii="Times New Roman" w:hAnsi="Times New Roman" w:cs="Times New Roman"/>
          <w:sz w:val="27"/>
          <w:szCs w:val="27"/>
        </w:rPr>
        <w:t xml:space="preserve"> </w:t>
      </w:r>
      <w:r w:rsidR="000F7EC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</w:p>
    <w:p w:rsidR="00572DA8" w:rsidRPr="00371B0E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B3EC0" w:rsidRDefault="00B4566B" w:rsidP="00E17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21B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B3EC0" w:rsidRPr="00026A1C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2B3EC0" w:rsidRPr="00026A1C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</w:p>
    <w:p w:rsidR="00B212AD" w:rsidRPr="00371B0E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организаций.</w:t>
      </w:r>
    </w:p>
    <w:p w:rsidR="00BF6CA5" w:rsidRPr="00371B0E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371B0E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Pr="00371B0E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hAnsi="Times New Roman" w:cs="Times New Roman"/>
          <w:sz w:val="27"/>
          <w:szCs w:val="27"/>
        </w:rPr>
        <w:t>18</w:t>
      </w:r>
      <w:r w:rsidR="003719A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A05F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</w:p>
    <w:p w:rsidR="00381B6F" w:rsidRPr="00371B0E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 w:rsidR="00B212A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13.07.2020 №189-ФЗ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</w:t>
      </w:r>
      <w:r w:rsidR="00BB0F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A05F7" w:rsidRPr="00371B0E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</w:p>
    <w:p w:rsidR="000A5553" w:rsidRPr="00371B0E" w:rsidRDefault="00371B0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371B0E" w:rsidRDefault="00371B0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371B0E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2433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633-V.</w:t>
      </w:r>
    </w:p>
    <w:p w:rsidR="00DA726F" w:rsidRDefault="0000280C" w:rsidP="00DA7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F1430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пунктом 8 статьи 217 Бюджетного кодекса Российской Федерации, пунктом 2 статьи 121 решения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="00807A0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бюджетных и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учреждений, созданных на базе имущества, находящегося в собственности муниципального образования</w:t>
      </w:r>
      <w:r w:rsidR="00C1490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открываемых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371B0E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 из бюджета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371B0E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 Установить, что в 2025 году департамент финансов осуществляет казначейское сопровождение средств, указанных в пункте 2</w:t>
      </w:r>
      <w:r w:rsidR="00D1240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.1 настоящего решения, предоставляемых из бюджета города.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.1. Казначейскому сопровождению подлежат: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 w:rsidR="00D1240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полнении работ, оказании услуг;</w:t>
      </w:r>
    </w:p>
    <w:p w:rsidR="00C246F6" w:rsidRPr="00371B0E" w:rsidRDefault="00C246F6" w:rsidP="00C2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Calibri" w:hAnsi="Times New Roman" w:cs="Times New Roman"/>
          <w:sz w:val="27"/>
          <w:szCs w:val="27"/>
        </w:rPr>
        <w:t>авансовые платежи по контрактам (договорам, соглашениям) о поставке товаров, выполнении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</w:p>
    <w:p w:rsidR="00807A02" w:rsidRPr="00807A02" w:rsidRDefault="00C246F6" w:rsidP="00807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="00807A02" w:rsidRPr="00807A02">
        <w:t xml:space="preserve"> </w:t>
      </w:r>
      <w:r w:rsidR="00807A02"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города, указанные в подпункте 4</w:t>
      </w:r>
      <w:r w:rsidR="00807A02"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пункта;</w:t>
      </w:r>
    </w:p>
    <w:p w:rsidR="00807A02" w:rsidRDefault="00807A02" w:rsidP="00C75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вклады), указанные в подпункте 5</w:t>
      </w: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пункта, на сумму </w:t>
      </w:r>
      <w:r w:rsidRPr="00CB69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более 3 </w:t>
      </w:r>
      <w:r w:rsidR="00556A63" w:rsidRPr="00CB692D">
        <w:rPr>
          <w:rFonts w:ascii="Times New Roman" w:eastAsia="Times New Roman" w:hAnsi="Times New Roman" w:cs="Times New Roman"/>
          <w:sz w:val="27"/>
          <w:szCs w:val="27"/>
          <w:lang w:eastAsia="ru-RU"/>
        </w:rPr>
        <w:t>000,0 тыс.</w:t>
      </w:r>
      <w:r w:rsidR="00556A63" w:rsidRPr="00556A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C246F6" w:rsidRPr="00371B0E" w:rsidRDefault="00807A02" w:rsidP="00C2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7)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 средства, определенные администрацией города Нефтеюганска;</w:t>
      </w:r>
    </w:p>
    <w:p w:rsidR="00C246F6" w:rsidRPr="00371B0E" w:rsidRDefault="00807A02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 w:rsidRPr="00371B0E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362F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20B15" w:rsidRPr="00371B0E" w:rsidRDefault="00720B1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51F0" w:rsidRPr="00371B0E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D42EA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="008D047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371B0E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</w:p>
    <w:sectPr w:rsidR="002630F9" w:rsidRPr="00371B0E" w:rsidSect="00AB378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B1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0B2F"/>
    <w:rsid w:val="00073927"/>
    <w:rsid w:val="00075463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1376"/>
    <w:rsid w:val="002B1ABC"/>
    <w:rsid w:val="002B3EC0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E7126"/>
    <w:rsid w:val="002F0CD4"/>
    <w:rsid w:val="002F4A64"/>
    <w:rsid w:val="002F5D05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D20D5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42ED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10BFF"/>
    <w:rsid w:val="007204D2"/>
    <w:rsid w:val="00720B15"/>
    <w:rsid w:val="00721B52"/>
    <w:rsid w:val="00721EB6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1AE1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6B00"/>
    <w:rsid w:val="00807A02"/>
    <w:rsid w:val="008107C6"/>
    <w:rsid w:val="00811FEC"/>
    <w:rsid w:val="008126CF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6F9D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24885"/>
    <w:rsid w:val="00A3443C"/>
    <w:rsid w:val="00A37B94"/>
    <w:rsid w:val="00A41D31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9B1"/>
    <w:rsid w:val="00AC3E5E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1240C"/>
    <w:rsid w:val="00D13C36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72E"/>
    <w:rsid w:val="00DC04EA"/>
    <w:rsid w:val="00DC1EC6"/>
    <w:rsid w:val="00DC27BF"/>
    <w:rsid w:val="00DC2DD9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6359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37F3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312293&amp;dst=133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4A74-F867-4B1C-9842-6AB6304A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5455</TotalTime>
  <Pages>10</Pages>
  <Words>3834</Words>
  <Characters>21860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448</cp:revision>
  <cp:lastPrinted>2024-12-12T11:06:00Z</cp:lastPrinted>
  <dcterms:created xsi:type="dcterms:W3CDTF">2019-01-30T05:23:00Z</dcterms:created>
  <dcterms:modified xsi:type="dcterms:W3CDTF">2024-12-16T08:08:00Z</dcterms:modified>
</cp:coreProperties>
</file>