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73" w:rsidRPr="00B95EBC" w:rsidRDefault="00617173" w:rsidP="00617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отбора, претендующих на заключение соглашения на предоставление субсидии из бюджета города Нефтеюганска </w:t>
      </w:r>
      <w:r w:rsidR="00EF091B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</w:p>
    <w:p w:rsidR="00617173" w:rsidRPr="00B95EBC" w:rsidRDefault="00617173" w:rsidP="006171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соответствии с пунктом 2.10 </w:t>
      </w:r>
      <w:r w:rsidR="008E68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порядка 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предоставления субсидии из бюджета города Нефтеюганска </w:t>
      </w:r>
      <w:r w:rsidR="008E68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утвержденного постановлением администрации города Нефтеюганска от </w:t>
      </w:r>
      <w:r w:rsidR="008E68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</w:t>
      </w:r>
      <w:r w:rsidR="009A334E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.05.20</w:t>
      </w:r>
      <w:r w:rsidR="008E68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19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№ </w:t>
      </w:r>
      <w:r w:rsidR="008E68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91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="009A334E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 (далее - Порядок)</w:t>
      </w:r>
      <w:r w:rsidRPr="00B9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департамент жилищно-коммунального хозяйства администрации города Нефтеюганска информирует о результатах рассмотрения заявок участников отбора для заключения соглашения на предоставление субсидии из бюджета города Нефтеюганска </w:t>
      </w:r>
      <w:r w:rsidR="00524ED4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 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202</w:t>
      </w:r>
      <w:r w:rsidR="00287F5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году.</w:t>
      </w:r>
    </w:p>
    <w:p w:rsidR="00BF4A3F" w:rsidRPr="00B95EBC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заявок</w:t>
      </w:r>
    </w:p>
    <w:p w:rsidR="00F239AC" w:rsidRDefault="00933B26" w:rsidP="00F239A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Рассмотрение и оценка поступивших</w:t>
      </w:r>
      <w:r w:rsidR="00284C92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заявок на участие в отборе про</w:t>
      </w:r>
      <w:r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водилась </w:t>
      </w:r>
      <w:r w:rsidR="00110EE3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 </w:t>
      </w:r>
      <w:r w:rsidR="00287F57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11</w:t>
      </w:r>
      <w:r w:rsidR="00FA7CCF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="00287F57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11</w:t>
      </w:r>
      <w:r w:rsidR="00110EE3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.202</w:t>
      </w:r>
      <w:r w:rsidR="00287F57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110EE3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по </w:t>
      </w:r>
      <w:r w:rsidR="00287F57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22.11.2024</w:t>
      </w:r>
      <w:r w:rsidR="00B95EBC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</w:t>
      </w:r>
      <w:r w:rsidR="00F239AC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</w:t>
      </w:r>
      <w:r w:rsid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ул. Строителей, строение 4/1.</w:t>
      </w:r>
    </w:p>
    <w:p w:rsidR="00BF4A3F" w:rsidRPr="00F239AC" w:rsidRDefault="00F239AC" w:rsidP="00F239A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Заседание комиссии прохо</w:t>
      </w:r>
      <w:bookmarkStart w:id="0" w:name="_GoBack"/>
      <w:bookmarkEnd w:id="0"/>
      <w:r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дило </w:t>
      </w:r>
      <w:r w:rsidR="00B95EBC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22</w:t>
      </w:r>
      <w:r w:rsidR="00AD1422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="00287F57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11</w:t>
      </w:r>
      <w:r w:rsidR="00AD1422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="00933B26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202</w:t>
      </w:r>
      <w:r w:rsidR="00287F57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933B26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</w:t>
      </w:r>
      <w:r w:rsidR="00FC0227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</w:t>
      </w:r>
      <w:r w:rsidR="00287F57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933B26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="00287F57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="00933B26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0 часов</w:t>
      </w:r>
      <w:r w:rsidR="00D660DA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*</w:t>
      </w:r>
      <w:r w:rsidR="00933B26" w:rsidRPr="00F239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BF4A3F" w:rsidRPr="00B95EBC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заявки,</w:t>
      </w: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котор</w:t>
      </w:r>
      <w:r w:rsidR="00933B26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ые</w:t>
      </w: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033"/>
        <w:gridCol w:w="2835"/>
      </w:tblGrid>
      <w:tr w:rsidR="00BF4A3F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287F57" w:rsidRPr="00BF4A3F" w:rsidTr="00287F57">
        <w:trPr>
          <w:trHeight w:val="314"/>
        </w:trPr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7F57" w:rsidRPr="00BF4A3F" w:rsidRDefault="00287F57" w:rsidP="0028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F57" w:rsidRDefault="00287F57" w:rsidP="0028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95EB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«Технологии ко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мфорта»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F57" w:rsidRPr="00934D7C" w:rsidRDefault="00287F57" w:rsidP="0028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287F57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F57" w:rsidRPr="00BF4A3F" w:rsidRDefault="00287F57" w:rsidP="0028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F57" w:rsidRPr="00B95EBC" w:rsidRDefault="00287F57" w:rsidP="0028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Лучший дом»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F57" w:rsidRPr="00934D7C" w:rsidRDefault="00287F57" w:rsidP="0028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287F57" w:rsidRDefault="00287F57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BF4A3F" w:rsidRPr="00B95EBC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Информация об участниках отбора, заявки</w:t>
      </w:r>
      <w:r w:rsidR="000A2514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,</w:t>
      </w: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которы</w:t>
      </w:r>
      <w:r w:rsidR="007F75C5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е</w:t>
      </w: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заявки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111"/>
        <w:gridCol w:w="4677"/>
      </w:tblGrid>
      <w:tr w:rsidR="00B95EBC" w:rsidRPr="00BF4A3F" w:rsidTr="00375EA0">
        <w:tc>
          <w:tcPr>
            <w:tcW w:w="84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EBC" w:rsidRPr="00BF4A3F" w:rsidRDefault="00B95EBC" w:rsidP="0037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11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EBC" w:rsidRPr="00BF4A3F" w:rsidRDefault="00B95EBC" w:rsidP="005E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467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EBC" w:rsidRPr="00BF4A3F" w:rsidRDefault="00FF7E3F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Результат р</w:t>
            </w:r>
            <w:r w:rsidR="003C4EF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ассмотрения</w:t>
            </w:r>
            <w:r w:rsidR="00B95EBC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заявки</w:t>
            </w:r>
          </w:p>
        </w:tc>
      </w:tr>
      <w:tr w:rsidR="00B95EBC" w:rsidRPr="00BF4A3F" w:rsidTr="00375EA0">
        <w:trPr>
          <w:trHeight w:val="314"/>
        </w:trPr>
        <w:tc>
          <w:tcPr>
            <w:tcW w:w="84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EBC" w:rsidRPr="00BF4A3F" w:rsidRDefault="00B95EBC" w:rsidP="00B9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5EBC" w:rsidRPr="00287F57" w:rsidRDefault="00375EA0" w:rsidP="00B9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B95EB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«Технологии ко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мфорта»</w:t>
            </w:r>
          </w:p>
        </w:tc>
        <w:tc>
          <w:tcPr>
            <w:tcW w:w="467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5EBC" w:rsidRPr="00375EA0" w:rsidRDefault="00B95EBC" w:rsidP="00375EA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5EA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заявка </w:t>
            </w:r>
            <w:r w:rsidR="00FF7E3F" w:rsidRPr="00375EA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отклонена</w:t>
            </w:r>
            <w:r w:rsidR="00FF7E3F" w:rsidRPr="00375EA0">
              <w:rPr>
                <w:rFonts w:ascii="Times New Roman" w:hAnsi="Times New Roman"/>
                <w:sz w:val="24"/>
                <w:szCs w:val="24"/>
              </w:rPr>
              <w:t xml:space="preserve"> в связи с </w:t>
            </w:r>
            <w:r w:rsidR="00287F57" w:rsidRPr="00375EA0">
              <w:rPr>
                <w:rFonts w:ascii="Times New Roman" w:hAnsi="Times New Roman"/>
                <w:sz w:val="24"/>
                <w:szCs w:val="24"/>
              </w:rPr>
              <w:t xml:space="preserve">имеющейся </w:t>
            </w:r>
            <w:r w:rsidR="00287F57" w:rsidRPr="0037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просроченной задолженност</w:t>
            </w:r>
            <w:r w:rsidR="00375EA0" w:rsidRPr="0037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</w:t>
            </w:r>
            <w:r w:rsidR="00287F57" w:rsidRPr="0037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возврату в бюджет муниципального образования</w:t>
            </w:r>
            <w:r w:rsidR="00375EA0" w:rsidRPr="0037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первое число </w:t>
            </w:r>
            <w:r w:rsidR="00375EA0" w:rsidRPr="00375EA0">
              <w:rPr>
                <w:rFonts w:ascii="Times New Roman" w:hAnsi="Times New Roman" w:cs="Times New Roman"/>
                <w:sz w:val="24"/>
                <w:szCs w:val="24"/>
              </w:rPr>
              <w:t>месяца, предшествующего месяцу, в котором планируется проведение отбора</w:t>
            </w:r>
            <w:r w:rsidR="00287F57" w:rsidRPr="0037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hyperlink w:anchor="Par85" w:history="1">
              <w:r w:rsidR="00287F57" w:rsidRPr="00375EA0">
                <w:rPr>
                  <w:rFonts w:ascii="Times New Roman" w:hAnsi="Times New Roman"/>
                  <w:sz w:val="24"/>
                  <w:szCs w:val="24"/>
                </w:rPr>
                <w:t>пункт</w:t>
              </w:r>
              <w:r w:rsidR="00FF7E3F" w:rsidRPr="00375EA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287F57" w:rsidRPr="00375EA0"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="00FF7E3F" w:rsidRPr="00375EA0">
                <w:rPr>
                  <w:rFonts w:ascii="Times New Roman" w:hAnsi="Times New Roman"/>
                  <w:sz w:val="24"/>
                  <w:szCs w:val="24"/>
                </w:rPr>
                <w:t xml:space="preserve"> объявления</w:t>
              </w:r>
              <w:r w:rsidR="00FF7E3F" w:rsidRPr="00375EA0">
                <w:rPr>
                  <w:sz w:val="24"/>
                  <w:szCs w:val="24"/>
                </w:rPr>
                <w:t xml:space="preserve"> </w:t>
              </w:r>
              <w:r w:rsidR="00FF7E3F" w:rsidRPr="00375EA0">
                <w:rPr>
                  <w:rFonts w:ascii="Times New Roman" w:hAnsi="Times New Roman"/>
                  <w:sz w:val="24"/>
                  <w:szCs w:val="24"/>
                </w:rPr>
                <w:t>о проведении отбора (п.2.</w:t>
              </w:r>
            </w:hyperlink>
            <w:r w:rsidR="00287F57" w:rsidRPr="00375EA0">
              <w:rPr>
                <w:rFonts w:ascii="Times New Roman" w:hAnsi="Times New Roman"/>
                <w:sz w:val="24"/>
                <w:szCs w:val="24"/>
              </w:rPr>
              <w:t>5</w:t>
            </w:r>
            <w:r w:rsidR="00FF7E3F" w:rsidRPr="00375EA0">
              <w:rPr>
                <w:rFonts w:ascii="Times New Roman" w:hAnsi="Times New Roman"/>
                <w:sz w:val="24"/>
                <w:szCs w:val="24"/>
              </w:rPr>
              <w:t xml:space="preserve"> Порядка)</w:t>
            </w:r>
          </w:p>
        </w:tc>
      </w:tr>
    </w:tbl>
    <w:p w:rsidR="00BF4A3F" w:rsidRPr="00284C92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</w:pPr>
      <w:r w:rsidRPr="00284C92">
        <w:rPr>
          <w:rFonts w:ascii="Times New Roman" w:eastAsia="Times New Roman" w:hAnsi="Times New Roman" w:cs="Times New Roman"/>
          <w:b/>
          <w:color w:val="202020"/>
          <w:sz w:val="25"/>
          <w:szCs w:val="25"/>
          <w:lang w:eastAsia="ru-RU"/>
        </w:rPr>
        <w:t>Н</w:t>
      </w:r>
      <w:r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 xml:space="preserve">аименование </w:t>
      </w:r>
      <w:r w:rsidR="00934D7C"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>участников отбора, с которыми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536"/>
        <w:gridCol w:w="4245"/>
      </w:tblGrid>
      <w:tr w:rsidR="00BF4A3F" w:rsidRPr="00BF4A3F" w:rsidTr="00375EA0">
        <w:tc>
          <w:tcPr>
            <w:tcW w:w="84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37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</w:t>
            </w:r>
            <w:r w:rsidR="00375EA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/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3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24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284C9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субсидии, рублей</w:t>
            </w:r>
          </w:p>
        </w:tc>
      </w:tr>
      <w:tr w:rsidR="00375EA0" w:rsidRPr="00BF4A3F" w:rsidTr="00375EA0">
        <w:trPr>
          <w:trHeight w:val="389"/>
        </w:trPr>
        <w:tc>
          <w:tcPr>
            <w:tcW w:w="84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5EA0" w:rsidRPr="00BF4A3F" w:rsidRDefault="00375EA0" w:rsidP="0037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75EA0" w:rsidRPr="00B95EBC" w:rsidRDefault="00375EA0" w:rsidP="0037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Лучший дом»</w:t>
            </w:r>
          </w:p>
        </w:tc>
        <w:tc>
          <w:tcPr>
            <w:tcW w:w="424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75EA0" w:rsidRPr="00FF7E3F" w:rsidRDefault="00375EA0" w:rsidP="0037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287F5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844 499,01</w:t>
            </w:r>
          </w:p>
        </w:tc>
      </w:tr>
    </w:tbl>
    <w:p w:rsidR="00D660DA" w:rsidRDefault="00D660DA" w:rsidP="00BF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FBC" w:rsidRPr="00BF4A3F" w:rsidRDefault="00D660DA" w:rsidP="00B4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4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</w:t>
      </w:r>
      <w:r w:rsidR="00B43FBC" w:rsidRPr="00D6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рассмотрению и оценке заявок участников отбора, претендующих на заключение соглашения </w:t>
      </w:r>
      <w:r w:rsidR="00B43FBC" w:rsidRPr="002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субсидии из бюджета города Нефтеюганска </w:t>
      </w:r>
      <w:r w:rsidR="00FA7CCF" w:rsidRPr="00FA7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 w:rsidR="00B4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95EB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C0227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7F5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C0227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7F5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B43FBC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FBC" w:rsidRPr="00C8538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756" w:rsidRPr="00C853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F4A3F" w:rsidRPr="00BF4A3F" w:rsidRDefault="00BF4A3F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4A3F" w:rsidRPr="00BF4A3F" w:rsidSect="000B50EE">
      <w:pgSz w:w="11908" w:h="16848" w:code="9"/>
      <w:pgMar w:top="1134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63" w:rsidRDefault="004A5863" w:rsidP="000B50EE">
      <w:pPr>
        <w:spacing w:after="0" w:line="240" w:lineRule="auto"/>
      </w:pPr>
      <w:r>
        <w:separator/>
      </w:r>
    </w:p>
  </w:endnote>
  <w:endnote w:type="continuationSeparator" w:id="0">
    <w:p w:rsidR="004A5863" w:rsidRDefault="004A5863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63" w:rsidRDefault="004A5863" w:rsidP="000B50EE">
      <w:pPr>
        <w:spacing w:after="0" w:line="240" w:lineRule="auto"/>
      </w:pPr>
      <w:r>
        <w:separator/>
      </w:r>
    </w:p>
  </w:footnote>
  <w:footnote w:type="continuationSeparator" w:id="0">
    <w:p w:rsidR="004A5863" w:rsidRDefault="004A5863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10E53"/>
    <w:rsid w:val="000A0D20"/>
    <w:rsid w:val="000A2514"/>
    <w:rsid w:val="000B50EE"/>
    <w:rsid w:val="00110EE3"/>
    <w:rsid w:val="00115AFF"/>
    <w:rsid w:val="00117B41"/>
    <w:rsid w:val="00156A8A"/>
    <w:rsid w:val="00192236"/>
    <w:rsid w:val="001A1F23"/>
    <w:rsid w:val="0021366C"/>
    <w:rsid w:val="0025027C"/>
    <w:rsid w:val="00280277"/>
    <w:rsid w:val="00283647"/>
    <w:rsid w:val="00284C92"/>
    <w:rsid w:val="00287F57"/>
    <w:rsid w:val="002A3E67"/>
    <w:rsid w:val="002A7231"/>
    <w:rsid w:val="002B335C"/>
    <w:rsid w:val="00375EA0"/>
    <w:rsid w:val="00393E7A"/>
    <w:rsid w:val="003C4EF5"/>
    <w:rsid w:val="004208F0"/>
    <w:rsid w:val="00420909"/>
    <w:rsid w:val="00451518"/>
    <w:rsid w:val="00476AA9"/>
    <w:rsid w:val="00482CE4"/>
    <w:rsid w:val="004A5863"/>
    <w:rsid w:val="00524ED4"/>
    <w:rsid w:val="00617173"/>
    <w:rsid w:val="00634CF7"/>
    <w:rsid w:val="00672F1D"/>
    <w:rsid w:val="006A5195"/>
    <w:rsid w:val="00724C82"/>
    <w:rsid w:val="007F75C5"/>
    <w:rsid w:val="00842976"/>
    <w:rsid w:val="008B1F68"/>
    <w:rsid w:val="008D7AF5"/>
    <w:rsid w:val="008E68BC"/>
    <w:rsid w:val="00933B26"/>
    <w:rsid w:val="00934D7C"/>
    <w:rsid w:val="00966921"/>
    <w:rsid w:val="009A334E"/>
    <w:rsid w:val="009E4A13"/>
    <w:rsid w:val="00A87B60"/>
    <w:rsid w:val="00AD1422"/>
    <w:rsid w:val="00B14440"/>
    <w:rsid w:val="00B36FFD"/>
    <w:rsid w:val="00B41049"/>
    <w:rsid w:val="00B43FBC"/>
    <w:rsid w:val="00B57DED"/>
    <w:rsid w:val="00B86E35"/>
    <w:rsid w:val="00B95756"/>
    <w:rsid w:val="00B95EBC"/>
    <w:rsid w:val="00BF4A3F"/>
    <w:rsid w:val="00C05FDC"/>
    <w:rsid w:val="00C10D68"/>
    <w:rsid w:val="00C43BD8"/>
    <w:rsid w:val="00C4689E"/>
    <w:rsid w:val="00C53D2C"/>
    <w:rsid w:val="00C85385"/>
    <w:rsid w:val="00D10503"/>
    <w:rsid w:val="00D660DA"/>
    <w:rsid w:val="00DD017A"/>
    <w:rsid w:val="00E038C0"/>
    <w:rsid w:val="00EC0CA3"/>
    <w:rsid w:val="00ED1DF6"/>
    <w:rsid w:val="00EF091B"/>
    <w:rsid w:val="00EF3D2C"/>
    <w:rsid w:val="00F239AC"/>
    <w:rsid w:val="00FA7CCF"/>
    <w:rsid w:val="00FC022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  <w:style w:type="character" w:styleId="a9">
    <w:name w:val="Hyperlink"/>
    <w:basedOn w:val="a0"/>
    <w:uiPriority w:val="99"/>
    <w:unhideWhenUsed/>
    <w:rsid w:val="009A3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0623-A041-4067-9036-D9590A77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УОиТСЖ-112-3</cp:lastModifiedBy>
  <cp:revision>34</cp:revision>
  <cp:lastPrinted>2021-07-08T10:21:00Z</cp:lastPrinted>
  <dcterms:created xsi:type="dcterms:W3CDTF">2021-09-16T09:59:00Z</dcterms:created>
  <dcterms:modified xsi:type="dcterms:W3CDTF">2024-11-22T10:30:00Z</dcterms:modified>
</cp:coreProperties>
</file>