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Уведомление</w:t>
      </w:r>
      <w:r>
        <w:rPr>
          <w:sz w:val="28"/>
          <w:szCs w:val="28"/>
        </w:rPr>
        <w:br/>
        <w:t xml:space="preserve"> о проведении публичных консультаций по проекту</w:t>
      </w:r>
      <w:r>
        <w:rPr>
          <w:sz w:val="28"/>
          <w:szCs w:val="28"/>
        </w:rPr>
        <w:br/>
        <w:t xml:space="preserve">нормативного правового акта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t xml:space="preserve">Настоящим  </w:t>
      </w:r>
      <w:r>
        <w:rPr>
          <w:sz w:val="28"/>
          <w:szCs w:val="28"/>
        </w:rPr>
        <w:t xml:space="preserve">Департамент труда и занятости населения Ханты-Мансийского автономного округа – Югры </w:t>
      </w:r>
      <w:r>
        <w:rPr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проекту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постановления Губернатора Ханты-Мансийского автономного округа – Югры </w:t>
      </w:r>
      <w:r>
        <w:rPr>
          <w:sz w:val="28"/>
          <w:szCs w:val="28"/>
        </w:rPr>
        <w:t xml:space="preserve">«Об установлении на 202</w:t>
      </w:r>
      <w:r>
        <w:rPr>
          <w:sz w:val="28"/>
          <w:szCs w:val="28"/>
        </w:rPr>
        <w:t xml:space="preserve">5 год запрета на привлечение хозяйствующими субъектами, осуществляющими деятельность в Ханты-Мансийском автономном округе – Югре, иностранных граждан, осуществляющих трудовую деятельность на основании патентов, по отдельным видам экономической</w:t>
      </w:r>
      <w:r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»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2"/>
        <w:gridCol w:w="3549"/>
        <w:gridCol w:w="5068"/>
      </w:tblGrid>
      <w:tr>
        <w:tblPrEx/>
        <w:trPr>
          <w:trHeight w:val="340"/>
        </w:trPr>
        <w:tc>
          <w:tcPr>
            <w:shd w:val="clear" w:color="auto" w:fill="auto"/>
            <w:tcW w:w="562" w:type="dxa"/>
            <w:textDirection w:val="lrTb"/>
            <w:noWrap w:val="false"/>
          </w:tcPr>
          <w:p>
            <w:pPr>
              <w:jc w:val="center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9" w:type="dxa"/>
            <w:textDirection w:val="lrTb"/>
            <w:noWrap w:val="false"/>
          </w:tcPr>
          <w:p>
            <w:pPr>
              <w:jc w:val="both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предла</w:t>
            </w:r>
            <w:r>
              <w:rPr>
                <w:sz w:val="28"/>
                <w:szCs w:val="28"/>
              </w:rPr>
              <w:t xml:space="preserve">гаемого правового регулирования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ind w:firstLine="709"/>
              <w:jc w:val="both"/>
              <w:tabs>
                <w:tab w:val="left" w:pos="70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Установление запрета способствует достижению целей принятия проекта: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709"/>
              <w:jc w:val="both"/>
              <w:tabs>
                <w:tab w:val="left" w:pos="70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сохранению баланса трудовых ресурсов в регионе;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709"/>
              <w:jc w:val="both"/>
              <w:tabs>
                <w:tab w:val="left" w:pos="70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содействию трудоустройства российских граждан;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709"/>
              <w:jc w:val="both"/>
              <w:tabs>
                <w:tab w:val="left" w:pos="70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повышению уровня благосостояния граждан за счет улучшения условий труда и увеличения заработной платы;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709"/>
              <w:jc w:val="both"/>
              <w:tabs>
                <w:tab w:val="left" w:pos="70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позволяют минимизировать риски причинения вреда жизни и здоровью граждан, так как устанавливаются на опережение негативных событий, не зависимо от тог</w:t>
            </w:r>
            <w:r>
              <w:rPr>
                <w:sz w:val="28"/>
                <w:szCs w:val="28"/>
              </w:rPr>
              <w:t xml:space="preserve">о были прецеденты ранее или нет.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spacing w:line="276" w:lineRule="auto"/>
              <w:tabs>
                <w:tab w:val="left" w:pos="709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W w:w="562" w:type="dxa"/>
            <w:textDirection w:val="lrTb"/>
            <w:noWrap w:val="false"/>
          </w:tcPr>
          <w:p>
            <w:pPr>
              <w:jc w:val="center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9" w:type="dxa"/>
            <w:textDirection w:val="lrTb"/>
            <w:noWrap w:val="false"/>
          </w:tcPr>
          <w:p>
            <w:pPr>
              <w:pStyle w:val="854"/>
              <w:tabs>
                <w:tab w:val="right" w:pos="9923" w:leader="none"/>
              </w:tabs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количества субъектов предпринимательской</w:t>
            </w:r>
            <w:r>
              <w:rPr>
                <w:color w:val="000000"/>
                <w:sz w:val="28"/>
              </w:rPr>
              <w:t xml:space="preserve">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деятельности, иных заинтересованных лиц, включая органы государственной власти, органы местного самоуправления муниципальных образований, интересы которых будут затронуты предлагаемым правовым регулированием, оценка количества таких субъектов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pStyle w:val="85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none"/>
              </w:rPr>
              <w:t xml:space="preserve">Частично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налогичные запреты установлены на 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9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 - 2024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год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ы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, их продление на 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25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  <w:t xml:space="preserve"> год и установление новых запретов в сфере бытового обслуживания и деятельности по уходу не повлечет за собой дополнительных расходов для работодателей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340"/>
        </w:trPr>
        <w:tc>
          <w:tcPr>
            <w:shd w:val="clear" w:color="auto" w:fill="auto"/>
            <w:tcW w:w="562" w:type="dxa"/>
            <w:textDirection w:val="lrTb"/>
            <w:noWrap w:val="false"/>
          </w:tcPr>
          <w:p>
            <w:pPr>
              <w:jc w:val="center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Описание новых обязательных требований для субъектов предпринимательской и иной экономической деятельности, обязанностей (запретов) для субъектов предпринимательской и инвестиционной деятельности, ответствен</w:t>
            </w:r>
            <w:r>
              <w:rPr>
                <w:color w:val="000000"/>
                <w:sz w:val="28"/>
                <w:szCs w:val="28"/>
              </w:rPr>
              <w:t xml:space="preserve">ности за нарушение нормативных правовых актов автономного округа, затрагивающих вопросы осуществления предпринимательской и иной экономической деятельности, либо изменение содержания (отмена) существующих обязательных требований, обязанностей (запретов) и </w:t>
            </w:r>
            <w:r>
              <w:rPr>
                <w:color w:val="000000"/>
                <w:sz w:val="28"/>
                <w:szCs w:val="28"/>
              </w:rPr>
              <w:t xml:space="preserve">ответственности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Установление запрета в сфере бытового обслуживания населения и деятельности по уходу за детьми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62" w:type="dxa"/>
            <w:textDirection w:val="lrTb"/>
            <w:noWrap w:val="false"/>
          </w:tcPr>
          <w:p>
            <w:pPr>
              <w:jc w:val="center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9" w:type="dxa"/>
            <w:textDirection w:val="lrTb"/>
            <w:noWrap w:val="false"/>
          </w:tcPr>
          <w:p>
            <w:pPr>
              <w:pStyle w:val="854"/>
              <w:tabs>
                <w:tab w:val="right" w:pos="9923" w:leader="none"/>
              </w:tabs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Оценка расходов (доходов) субъектов предпринимательской</w:t>
            </w:r>
            <w:r>
              <w:rPr>
                <w:color w:val="000000"/>
                <w:sz w:val="28"/>
              </w:rPr>
              <w:t xml:space="preserve">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деятельности, связанных с предлагаемым правовым регулированием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jc w:val="both"/>
              <w:tabs>
                <w:tab w:val="right" w:pos="9923" w:leader="none"/>
              </w:tabs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Установление запретов не повлечет дополнительных расходов субъектов </w:t>
            </w:r>
            <w:r>
              <w:rPr>
                <w:sz w:val="28"/>
                <w:szCs w:val="28"/>
                <w:highlight w:val="white"/>
              </w:rPr>
              <w:t xml:space="preserve">предпринимательской</w:t>
            </w:r>
            <w:r>
              <w:rPr>
                <w:sz w:val="28"/>
                <w:szCs w:val="28"/>
                <w:highlight w:val="white"/>
              </w:rPr>
              <w:t xml:space="preserve"> деятельности.</w:t>
            </w:r>
            <w:r>
              <w:rPr>
                <w:sz w:val="28"/>
                <w:szCs w:val="28"/>
                <w:highlight w:val="white"/>
              </w:rPr>
              <w:t xml:space="preserve"> 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</w:tr>
      <w:tr>
        <w:tblPrEx/>
        <w:trPr>
          <w:trHeight w:val="580"/>
        </w:trPr>
        <w:tc>
          <w:tcPr>
            <w:shd w:val="clear" w:color="auto" w:fill="auto"/>
            <w:tcW w:w="562" w:type="dxa"/>
            <w:textDirection w:val="lrTb"/>
            <w:noWrap w:val="false"/>
          </w:tcPr>
          <w:p>
            <w:pPr>
              <w:jc w:val="center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549" w:type="dxa"/>
            <w:textDirection w:val="lrTb"/>
            <w:noWrap w:val="false"/>
          </w:tcPr>
          <w:p>
            <w:pPr>
              <w:jc w:val="both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Планируемый срок вступления в силу предлагаемого правового регулирования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5068" w:type="dxa"/>
            <w:textDirection w:val="lrTb"/>
            <w:noWrap w:val="false"/>
          </w:tcPr>
          <w:p>
            <w:pPr>
              <w:jc w:val="both"/>
              <w:tabs>
                <w:tab w:val="right" w:pos="9923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1 января 2025</w:t>
            </w:r>
            <w:r>
              <w:rPr>
                <w:sz w:val="28"/>
                <w:szCs w:val="28"/>
              </w:rPr>
              <w:t xml:space="preserve"> года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567"/>
        <w:jc w:val="both"/>
        <w:spacing w:before="120"/>
        <w:tabs>
          <w:tab w:val="right" w:pos="992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Предложения принимаются </w:t>
      </w:r>
      <w:r>
        <w:rPr>
          <w:color w:val="000000"/>
          <w:sz w:val="28"/>
          <w:szCs w:val="28"/>
        </w:rPr>
        <w:t xml:space="preserve">на портале проектов нормативных правовых актов по ссылке: </w:t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t xml:space="preserve">https://regulation.admhmao.ru/projects#npa=61855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before="120"/>
        <w:tabs>
          <w:tab w:val="right" w:pos="992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 также по адресу электронной почты: </w:t>
      </w:r>
      <w:hyperlink r:id="rId10" w:tooltip="mailto:dtzn@admhmao.ru" w:history="1">
        <w:r>
          <w:rPr>
            <w:rStyle w:val="858"/>
            <w:sz w:val="28"/>
            <w:szCs w:val="28"/>
          </w:rPr>
          <w:t xml:space="preserve">dtzn@admhmao.ru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, либо </w:t>
      </w:r>
      <w:r>
        <w:rPr>
          <w:sz w:val="28"/>
          <w:szCs w:val="28"/>
        </w:rPr>
        <w:t xml:space="preserve">по адресу:</w:t>
      </w:r>
      <w:r>
        <w:rPr>
          <w:sz w:val="28"/>
          <w:szCs w:val="28"/>
        </w:rPr>
        <w:t xml:space="preserve"> ул. Карла-Маркса, д.12, каб.53, город Ханты-Мансийск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Ханты-Мансийский </w:t>
      </w:r>
      <w:r>
        <w:rPr>
          <w:sz w:val="28"/>
          <w:szCs w:val="28"/>
        </w:rPr>
        <w:t xml:space="preserve">автономный округ – Югра, 628012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spacing w:before="120"/>
        <w:rPr>
          <w:i/>
          <w:sz w:val="28"/>
          <w:szCs w:val="28"/>
        </w:rPr>
      </w:pPr>
      <w:r>
        <w:rPr>
          <w:sz w:val="28"/>
          <w:szCs w:val="28"/>
        </w:rPr>
        <w:t xml:space="preserve">Контактное лицо по вопросам проведения публ</w:t>
      </w:r>
      <w:r>
        <w:rPr>
          <w:sz w:val="28"/>
          <w:szCs w:val="28"/>
        </w:rPr>
        <w:t xml:space="preserve">ичных консультаций: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консультант</w:t>
      </w:r>
      <w:r>
        <w:rPr>
          <w:sz w:val="28"/>
          <w:szCs w:val="28"/>
        </w:rPr>
        <w:t xml:space="preserve"> отдела трудовой миграции Управления труда Департамента </w:t>
      </w:r>
      <w:r>
        <w:rPr>
          <w:sz w:val="28"/>
          <w:szCs w:val="28"/>
        </w:rPr>
        <w:t xml:space="preserve">труда и занятости населения Ханты-Мансийского автономного округа – Югры Чиликова Евгения Владимировна, контактный телефон: 8(3467)</w:t>
      </w:r>
      <w:r>
        <w:rPr>
          <w:sz w:val="28"/>
          <w:szCs w:val="28"/>
        </w:rPr>
        <w:t xml:space="preserve">331609, доб. 3923</w:t>
      </w:r>
      <w:r>
        <w:rPr>
          <w:sz w:val="28"/>
          <w:szCs w:val="28"/>
        </w:rPr>
        <w:t xml:space="preserve">.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ind w:left="567"/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Сроки приема предложений: с </w:t>
      </w:r>
      <w:r>
        <w:rPr>
          <w:sz w:val="28"/>
          <w:szCs w:val="28"/>
        </w:rPr>
        <w:t xml:space="preserve">29 </w:t>
      </w:r>
      <w:r>
        <w:rPr>
          <w:sz w:val="28"/>
          <w:szCs w:val="28"/>
        </w:rPr>
        <w:t xml:space="preserve">июля 202</w:t>
      </w:r>
      <w:r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года</w:t>
      </w:r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23 августа</w:t>
      </w:r>
      <w:r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right="-2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</w:t>
      </w:r>
      <w:r>
        <w:rPr>
          <w:i/>
          <w:iCs/>
          <w:sz w:val="28"/>
          <w:szCs w:val="28"/>
        </w:rPr>
      </w:r>
      <w:r>
        <w:rPr>
          <w:i/>
          <w:iCs/>
          <w:sz w:val="28"/>
          <w:szCs w:val="28"/>
        </w:rPr>
      </w:r>
    </w:p>
    <w:p>
      <w:pPr>
        <w:ind w:firstLine="567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>
        <w:rPr>
          <w:sz w:val="28"/>
          <w:szCs w:val="28"/>
          <w:lang w:val="en-US"/>
        </w:rPr>
        <w:t xml:space="preserve">I</w:t>
      </w:r>
      <w:r>
        <w:rPr>
          <w:sz w:val="28"/>
          <w:szCs w:val="28"/>
        </w:rPr>
        <w:t xml:space="preserve">D-номер проекта, размещенного на портале проектов нормативных правовых актов:</w:t>
      </w:r>
      <w:r>
        <w:rPr>
          <w:rFonts w:ascii="Times New Roman" w:hAnsi="Times New Roman" w:eastAsia="Times New Roman" w:cs="Times New Roman"/>
          <w:color w:val="444444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444444"/>
          <w:sz w:val="28"/>
          <w:szCs w:val="28"/>
          <w:highlight w:val="white"/>
        </w:rPr>
        <w:t xml:space="preserve">01/06/07-24/00061855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r>
    </w:p>
    <w:p>
      <w:pPr>
        <w:ind w:firstLine="567"/>
        <w:jc w:val="both"/>
        <w:tabs>
          <w:tab w:val="right" w:pos="9923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оступившие предложения будут рассмотрены </w:t>
      </w: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е позднее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 сентября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ода</w:t>
      </w:r>
      <w:r>
        <w:rPr>
          <w:sz w:val="28"/>
          <w:szCs w:val="28"/>
        </w:rPr>
        <w:t xml:space="preserve"> свод предложений будет размещен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портале проектов нормативных правовых актов,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а участники публичных консультаций письменно проинформированы о результатах рассмотрения их мнений.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jc w:val="both"/>
        <w:tabs>
          <w:tab w:val="right" w:pos="9923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567"/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К уведомлению прилагаются: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60"/>
        <w:numPr>
          <w:ilvl w:val="0"/>
          <w:numId w:val="1"/>
        </w:num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Перечень вопросов (опросный лист) для участников публичных консультаций;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9"/>
        <w:numPr>
          <w:ilvl w:val="0"/>
          <w:numId w:val="1"/>
        </w:numPr>
        <w:jc w:val="both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Губернатора Ханты-Мансийского автономного округа – Югры «Об установлении на 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 год запрета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привлечение хозяйствующими субъектами, осуществляющими деятельность в Ханты-Мансийском автономном округе – Югре, иностранных граждан, осуществляющих трудовую деятельность на основании патентов, по отдельным видам экономической деятельности»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;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59"/>
        <w:numPr>
          <w:ilvl w:val="0"/>
          <w:numId w:val="1"/>
        </w:numPr>
        <w:jc w:val="both"/>
        <w:spacing w:line="276" w:lineRule="auto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Пояснительная записка 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роект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постановления Губернатора Ханты-Мансийского автономного округа – Югр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ы «Об установлении на 202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 год запрета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привлечение хозяйствующими субъектами, осуществляющими деятельность в Ханты-Мансийском автономном округе – Югре, иностранных граждан, осуществляющих трудовую деятельность на основании патентов, по отдельным видам экономической деятельности»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</w:t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jc w:val="both"/>
        <w:spacing w:after="12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418" w:right="1276" w:bottom="1134" w:left="1559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705396807"/>
      <w:docPartObj>
        <w:docPartGallery w:val="Page Numbers (Top of Page)"/>
        <w:docPartUnique w:val="true"/>
      </w:docPartObj>
      <w:rPr/>
    </w:sdtPr>
    <w:sdtContent>
      <w:p>
        <w:pPr>
          <w:pStyle w:val="86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4"/>
    <w:next w:val="854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5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4"/>
    <w:next w:val="854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5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5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5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5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5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5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5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No Spacing"/>
    <w:uiPriority w:val="1"/>
    <w:qFormat/>
    <w:pPr>
      <w:spacing w:before="0" w:after="0" w:line="240" w:lineRule="auto"/>
    </w:pPr>
  </w:style>
  <w:style w:type="paragraph" w:styleId="699">
    <w:name w:val="Title"/>
    <w:basedOn w:val="854"/>
    <w:next w:val="854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5"/>
    <w:link w:val="699"/>
    <w:uiPriority w:val="10"/>
    <w:rPr>
      <w:sz w:val="48"/>
      <w:szCs w:val="48"/>
    </w:rPr>
  </w:style>
  <w:style w:type="paragraph" w:styleId="701">
    <w:name w:val="Subtitle"/>
    <w:basedOn w:val="854"/>
    <w:next w:val="854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5"/>
    <w:link w:val="701"/>
    <w:uiPriority w:val="11"/>
    <w:rPr>
      <w:sz w:val="24"/>
      <w:szCs w:val="24"/>
    </w:rPr>
  </w:style>
  <w:style w:type="paragraph" w:styleId="703">
    <w:name w:val="Quote"/>
    <w:basedOn w:val="854"/>
    <w:next w:val="854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4"/>
    <w:next w:val="854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5"/>
    <w:link w:val="861"/>
    <w:uiPriority w:val="99"/>
  </w:style>
  <w:style w:type="character" w:styleId="708">
    <w:name w:val="Footer Char"/>
    <w:basedOn w:val="855"/>
    <w:link w:val="863"/>
    <w:uiPriority w:val="99"/>
  </w:style>
  <w:style w:type="paragraph" w:styleId="709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3"/>
    <w:uiPriority w:val="99"/>
  </w:style>
  <w:style w:type="table" w:styleId="711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character" w:styleId="858">
    <w:name w:val="Hyperlink"/>
    <w:basedOn w:val="855"/>
    <w:uiPriority w:val="99"/>
    <w:unhideWhenUsed/>
    <w:rPr>
      <w:color w:val="0000ff" w:themeColor="hyperlink"/>
      <w:u w:val="single"/>
    </w:rPr>
  </w:style>
  <w:style w:type="paragraph" w:styleId="859" w:customStyle="1">
    <w:name w:val="Heading"/>
    <w:pPr>
      <w:spacing w:after="0" w:line="240" w:lineRule="auto"/>
      <w:widowControl w:val="off"/>
    </w:pPr>
    <w:rPr>
      <w:rFonts w:ascii="Arial" w:hAnsi="Arial" w:eastAsia="Times New Roman" w:cs="Arial"/>
      <w:b/>
      <w:bCs/>
      <w:lang w:eastAsia="ru-RU"/>
    </w:rPr>
  </w:style>
  <w:style w:type="paragraph" w:styleId="860">
    <w:name w:val="List Paragraph"/>
    <w:basedOn w:val="854"/>
    <w:uiPriority w:val="34"/>
    <w:qFormat/>
    <w:pPr>
      <w:contextualSpacing/>
      <w:ind w:left="720"/>
    </w:pPr>
  </w:style>
  <w:style w:type="paragraph" w:styleId="861">
    <w:name w:val="Header"/>
    <w:basedOn w:val="854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855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Footer"/>
    <w:basedOn w:val="854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Нижний колонтитул Знак"/>
    <w:basedOn w:val="855"/>
    <w:link w:val="86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mailto:dtzn@admhma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Лебедева Елена Евгеньевна</dc:creator>
  <cp:revision>30</cp:revision>
  <dcterms:created xsi:type="dcterms:W3CDTF">2018-06-21T12:42:00Z</dcterms:created>
  <dcterms:modified xsi:type="dcterms:W3CDTF">2024-07-29T11:50:18Z</dcterms:modified>
</cp:coreProperties>
</file>