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-283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63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150" w:type="dxa"/>
            </w:tcMar>
            <w:tcW w:w="963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ahoma" w:hAnsi="Tahoma" w:eastAsia="Tahoma" w:cs="Tahoma"/>
                <w:color w:val="000000"/>
                <w:sz w:val="24"/>
              </w:rPr>
              <w:t xml:space="preserve">Положение о Всероссийском конкурсе «Инженер года»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638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261" w:after="261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i/>
                <w:color w:val="000000"/>
                <w:sz w:val="39"/>
              </w:rPr>
              <w:t xml:space="preserve">XХV Всероссийский конкурс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i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243" w:after="243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9"/>
              </w:rPr>
              <w:t xml:space="preserve">«ИНЖЕНЕР ГОДА - 2024»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/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г. Москва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2023 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П О С Т А Н О В Л Е Н И Е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     29.05.2024 г.                            г. Москва                   № 39-1/2-1/6/29/1-5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 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 XХV Всероссийском конкурсе </w:t>
            </w:r>
            <w:r/>
            <w:r>
              <w:rPr>
                <w:rFonts w:ascii="Tahoma" w:hAnsi="Tahoma" w:eastAsia="Tahoma" w:cs="Tahoma"/>
                <w:color w:val="000000"/>
                <w:sz w:val="20"/>
              </w:rPr>
              <w:t xml:space="preserve">«Инженер года-2024» </w:t>
            </w:r>
            <w:r/>
            <w:r>
              <w:rPr>
                <w:rFonts w:ascii="Tahoma" w:hAnsi="Tahoma" w:eastAsia="Tahoma" w:cs="Tahoma"/>
                <w:sz w:val="20"/>
              </w:rPr>
            </w:r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Конкурс является крупнейшим социальным проектом, реализуемым в России с цел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ью выявления и распространения передового опыта и достижений инженерных кадров, лучших в своей сфере деятельности. Первые конкурсы были проведены в соответствии с распоряжениями Правительства РФ от 22 января 2001 года № 77-р и от 10 октября 2002 года № 142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8-р. 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 инженерного дела России. Конкурс реализуется в ра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мках Десятилетия науки и технологий, объявленного Президентом Российской Федерации, направленного на усиление роли науки и технологий в решении важнейших задач развития общества и страны (Указ Президента Российской Федерации от 25 апреля 2022 г. № 231), вх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одит в инициативу «Наука побеждать» Десятилетия и науки и технологий </w:t>
            </w:r>
            <w:hyperlink r:id="rId9" w:tooltip="https://xn--80aa3ak5a.xn--p1ai/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https://наука.рф/</w:t>
              </w:r>
            </w:hyperlink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Принимая во внимание, что традицию ежегодно чествовать лучших представителей научно-технической интеллигенции неоднократно одобряли Правительство Российской Федерации, Государственная Дума и Совет Федерации Федерального Собрания Российской Федерации, Прези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дент Российской Федерации В.В.Путин,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объединений, Международный Союз научных и инженерных общественных 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объединений, Академия инженерных наук имени А.М.Прохорова, Межрегиональный общественный фонд содействия научно-техническому прогрессу 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ПОСТАНОВЛЯЮТ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1. Объявить XХV Всероссийский конкурс «Инженер года-2024» по результатам деятельности в 2024 году инженеров, занятых на предприятиях, в организациях и учреждениях различных форм собственности.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Подведение итогов конкурса провести в период с 15 ноября 2024 года по 08 февраля 2025 года.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2. Провести конкурс «Инженер года» в двух версиях: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«Инженерное искусство молодых» - для участвующих в конкурсе молодых специалистов в возрасте до 30 лет включительно;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«Профессиональные инженеры» -  для участников конкурса, имеющих стаж работы на инженерных должностях не менее 5 лет.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3. Утвердить Положение о проведении XХV Всероссийского конкурса «Инженер года-2024» (прилагается).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4. Поручить жюри конкурса «Инженер года-2024» до 15 октября 2024 года сформировать состав экспертных комиссий по всем номинациям конкурса.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5. Предложить органам исполнительной власти, региональным (областным, краевым, республиканским) организациям научно-технических обществ, их соответствующим союзам, домам науки и техники и домам инженера, руководящим органам российских научно-технических об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ществ, комитетам и советам по работе с молодыми учеными и специалистами включиться в пропаганду целей и условий конкурса, организовать проведение регионального этапа конкурса, выдвижение его победителей для участия во Всероссийском конкурсе «Инженер года».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6. Российскому Союзу научных и инженерных общественных объединений обеспечить прием взносов участников конкурса, а также оплату организа­ционных и хозяйственных расходов, связанных с проведением конкурса.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7. Утвердить Координационный Комитет по проведению конкурса «Инженер года - 2024» в составе:</w:t>
            </w:r>
            <w:r/>
          </w:p>
          <w:tbl>
            <w:tblPr>
              <w:tblStyle w:val="4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4"/>
              <w:gridCol w:w="643"/>
              <w:gridCol w:w="7201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Друкаренко Сергей Петрович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к.т.н., вице-президент, первый секретарь РосСНИО, первый вице-президент Международного Союза НИО, государственный советник Российской Федерации 1 класса (председатель Комитета)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Алексеев Николай Григорьевич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секретарь Координационного совета РосСНИО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Бурмистрова Татьяна Вячеславовна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заведующая организационным отделом Координационного совета РосСНИО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Воробьева Мария Вячеславовна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ученый секретарь – руководитель дирекции по научной работе и непрерывному образованию Союза НИО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Есаулкова Лариса Николаевна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Ульяновского Дома техники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Зюзин Алексей Михайлович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Частного образовательного учреждения дополнительного профессионального образования «Саранский Дом науки и техники РосСНИО», председатель Совета директоров Домов науки и техники РосСНИО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Ковалев Игорь Владимирович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президент Красноярского краевого Союза научных и инженерных общественных организаций (объединений), директор Красноярского краевого Дома науки и техники РосСНИО, Почетный работник науки и техники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Кошелева Мария Константиновна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к.т.н., ученый секретарь Комитета РосСНИО по проблемам энергоресурсоэффективных химических технологий, профессор Российского государственного университета имени А.Н. Косыгина (Технологии, Дизайн, Искусство), Лауреат премии Правительства РФ в области науки </w:t>
                  </w: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и техники, Почетный работник высшего профессионального образования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Лесовик Валерий Станиславович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чл.-корр. Российской академии архитектуры и строительных наук, доктор технических наук, профессор, заведующий кафедрой БГТУ им В.Г. Шухова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Межеумов Игорь Николаевич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Частного учреждения дополнительного профессионального образования «Тверской областной Дом науки и техники РосСНИО»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Осадчева Леонилла Юрьевна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Частного образовательного учреждения дополнительного профессионального образования «Пермский Дом науки и техники»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Пахомов Сергей Викторович 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генеральный директор ЗАО «Научный инновационный инжиниринговый центр Академии инженерных наук имени А.М. Прохорова»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Тендер Ольга Николаевна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начальник отдела научно-технической информации Частного учреждения «Ярославский Дом науки и техники»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Тимченко Вячеслав Степанович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к.э.н, член Совета Федерации Федерального Собрания Российской Федерации, председатель Комитета Совета Федерации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Чуков Александр Николаевич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президент Союза научных и инженерных общественных объединений Тульской области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Шеляков Олег Владимирович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заместитель председателя Региональной общественной организации специалистов и инженеров научно-технических объединений в городе Москве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Шипилов Виктор Георгиевич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к.э.н., первый заместитель председателя президиума Воронежской региональной общественной организации «Научно-техническое общество (НТО)»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179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Яшников Алексей Владимирович</w:t>
                  </w:r>
                  <w:r/>
                </w:p>
              </w:tc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844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Частного учреждения дополнительного профессионального образования «Иркутский областной Дом науки и техники» РосСНИО</w:t>
                  </w:r>
                  <w:r/>
                </w:p>
              </w:tc>
            </w:tr>
            <w:tr>
              <w:trPr/>
              <w:tc>
                <w:tcPr>
                  <w:gridSpan w:val="2"/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437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Президент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Российского и Международного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союзов НИО,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Ю.В. Гуляев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201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Президент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Академии инженерных наук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имени А.М.Прохорова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  <w:p>
                  <w:pPr>
                    <w:ind w:left="0" w:right="0" w:firstLine="0"/>
                    <w:jc w:val="center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 В.А.Черепенин</w:t>
                  </w:r>
                  <w:r/>
                </w:p>
              </w:tc>
            </w:tr>
          </w:tbl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Президент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Межрегионального общественного фонда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содействия научно-техническому прогрессу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С.П.Друкаренко</w:t>
            </w:r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</w:t>
            </w:r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УТВЕРЖДЕНО</w:t>
            </w:r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постановлением президиума</w:t>
            </w:r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РосСНИО от 29.05.2024 г.</w:t>
            </w:r>
            <w:r/>
          </w:p>
          <w:p>
            <w:pPr>
              <w:ind w:left="0" w:right="0" w:firstLine="0"/>
              <w:jc w:val="right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№ 39-1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 ПОЛОЖЕНИЕ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о проведении XХV Всероссийского конкурса «Инженер года-2024»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1. Цели и задачи проведения конкурса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Конкурс «Инженер года-2024» проводится по результатам деятельности инженеров в 2024 году. Его проведение направлено на: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повышение привлекательности труда и профессионализма инженерных работников;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выявление элиты российского инженерного корпуса;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привлечение внимания к проблемам качества инженерных кадров в России;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пропаганду достижений и опыта лучших инженеров страны, развитие научно-технического сотрудничества;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формирование интереса к инженерному труду в молодежной среде;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формирование реестра (банка данных) лучших профессиональных инженеров страны.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Конкурс проводится общественными объединениями профессиональных ученых и инженеров России в двух версиях: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«Инженерное искусство молодых» - для участвующих в конкурсе молодых специалистов в возрасте до 30 лет включительно;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«Профессиональные инженеры» - для участников конкурса, имеющих стаж работы на инженерных должностях не менее 5 лет.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2. Организаторы конкурса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Межрегиональным общественным фондом содействия научно-те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хническому прогрессу.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3. Жюри конкурса 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В состав жюри и экспертных комиссий конкурса входят ведущие ученые, инженеры, специалисты различных отраслей народного хозяйства.  </w:t>
            </w:r>
            <w:r/>
          </w:p>
          <w:tbl>
            <w:tblPr>
              <w:tblStyle w:val="48"/>
              <w:tblW w:w="0" w:type="auto"/>
              <w:tblInd w:w="0" w:type="dxa"/>
              <w:tblBorders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insideH w:val="none" w:color="000000" w:sz="4" w:space="0"/>
                <w:insideV w:val="non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7512"/>
            </w:tblGrid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b/>
                      <w:color w:val="000000"/>
                      <w:sz w:val="24"/>
                    </w:rPr>
                    <w:t xml:space="preserve">Председатель: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Гуляев Ю.В.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президент Российского и Международного союзов НИО, Лауреат 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b/>
                      <w:color w:val="000000"/>
                      <w:sz w:val="24"/>
                    </w:rPr>
                    <w:t xml:space="preserve">Вице-председатели: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Дмитриевский А.Н.</w:t>
                  </w:r>
                  <w:r/>
                </w:p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научный руководитель Института проблем нефти и газа РАН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Иванов В.В.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член-корреспондент РАН, член президиума РАН, заместитель президента РАН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Леонтьев Л.И.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председатель Научного совета по металлургии и металловедению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Тестоедов Н.А.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профессор, заместитель председателя Сибирского отделения Российской академии наук, вице-президент РосСНИО, Лауреат 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b/>
                      <w:color w:val="000000"/>
                      <w:sz w:val="24"/>
                    </w:rPr>
                    <w:t xml:space="preserve">Члены жюри: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Арефьева И.С.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директор Административного департамента Министерства энергетики Российской Федерации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Безруких П.П.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председатель комитета РосСНИО по проблемам использования возобновляемых источников энергии, Заслуженный энергетик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Белгородский В.С.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д.с.н., к.т.н., профессор, ректор Российского государственного университета имени А.Н. Косыгина (Технологии, Дизайн, Искусство), Лауреат премии Правительства РФ в области науки и техники, Почетный работник высшего профессионального образования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Волков В.И.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д.э.н., профессор, президент Вольного экономического общества г. Москвы, Заслуженный экономист Российской Федерации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Воронин Г.П.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д.э.н., президент Всероссийской организации качества, Лауреат 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Гаевский В.В.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к.ф.-м.н., заместитель главного технолога по НИОКР АО «НПО «СПЛАВ»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Голубев С.В.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генеральный директор Ассоциации Экспертно-аналитический центр проектировщиков «Проектный портал»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Егорушков А.П.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к.э.н., советник генерального директора АО «Северсталь Менеджмент»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Жураковский В.М.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вице-президент РосСНИО, президент Ассоциации инженерных вузов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Зацаринный А.А.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заместитель директора ФГУ «Федеральный исследовательский центр «Информатика и управление» РАН, Лауреат 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Ильина И.Е.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д.э.н., директор Российского научно-исследовательского института экономики, политики и права в научно-технической сфере (РИЭПП)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Клячко Л.М.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действительный государственный советник Российской Федерации 2 класса, научный руководитель АО «ЦНИИ «Курс», Лауреат премии Правительства РФ в области науки и техники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Кульчицкий В.В.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председатель Центрального правления НТО нефтяников и газовиков имени академика И.М. Губкина, профессор РГУ нефти и газа (НИУ) имени академика И.М. Губкина, ЛауреатЗолотой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Кричевский Г.Е.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президент Российского Союза химиков-текстильщиков и колористов, вице-президент нанотехнологического общества России, Заслуженный деятель науки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Мартыненко А.В.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д.м.н., профессор, декан факультета социальной работы, заведующий кафедрой МГМСУ имени А.И. Евдокимова, член-корреспондент Российской академии образования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Мартынов Н.П.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контр-адмирал ВМФ России, к.т.н., профессор Военно-морского политехнического института ВУНЦ ВМФ «Военно-морская академия» имени Адмирала Флота Советского Союза Н.Г. Кузнецова», профессор Академии военных наук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Мешалкин В.П.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сопредседатель Комитета РосСНИО по проблемам энергоресурсоэффективных химических технологий, директор Международного института логистики ресурсосбережения и технологической инноватики – МИЛРТИ  (НОЦ), профессор РХТУ имени Д.И. Менделеева, Лау</w:t>
                  </w: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реат премии Правительства РФ в области науки и техники и Премии Президента РФ в области образования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Назметдинов И.М.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к.т.н., полковник, чл.-корр. Российской академии естественных наук, председатель Военно-научного комитета Штаба материально-технического обеспечения Вооруженных Сил Российской Федерации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Нестеров С.Б.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президент Российского вакуумного общества имени академика С.А. Векшинского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Паевский А.С.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заместитель руководителя Центра Компетенций НТИ по новым и мобильным источникам энергии по коммуникации при Институте проблем химической физики Российской академии наук (ИПХФ РАН), сотрудник проектного офиса Десятилетия науки и технологий, действительный ч</w:t>
                  </w: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лен Русского географического общества, член правления Российского химического общества им. Д.И. Менделеева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Панина Е.В.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д.э.н., профессор, председатель Московской конфедерации промышленников и предпринимателей (работодателей)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Пилипенко О.В.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Депутат Государственной Думы ФС РФ, член Комитета Государственной Думы по науке и высшему образованию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Романова А.Т.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д.э.н., профессор Российского университета транспорта (МИИТ), ученый секретарь Ассоциации инженеров-трибологов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Рудобашта С.П. 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председатель Комитета РосСНИО по проблемам сушки и термовлажностной обработки материалов, профессор Российского государственного аграрного университета имени К.А. Тимирязева, Заслуженный деятель науки и техники РФ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Стриханов М.Н.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д.ф.-м.н., профессор, научный руководитель НИЯУ МИФИ, Лауреат Золотой медали «Инженер десятилетия»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 Суворинов А.В.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заместитель директора ФГБНУ «Научно-исследовательский институт перспективных материалов и технологий»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Фаррахов Е.Г.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к.т.н., первый вице-президент Российского геологического общества, Заслуженный геолог России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Черепенин В.А.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ind w:left="0" w:right="0" w:firstLine="0"/>
                    <w:spacing w:before="240" w:after="240"/>
                    <w:pBdr>
                      <w:top w:val="none" w:color="000000" w:sz="4" w:space="0"/>
                      <w:left w:val="none" w:color="000000" w:sz="4" w:space="0"/>
                      <w:bottom w:val="none" w:color="000000" w:sz="4" w:space="0"/>
                      <w:right w:val="none" w:color="000000" w:sz="4" w:space="0"/>
                    </w:pBdr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академик РАН, вице-президент НТО РЭС имени А.С. Попова, заведующий отделением Института радиотехники и электроники имени В.А. Котельникова РАН</w:t>
                  </w:r>
                  <w:r/>
                </w:p>
              </w:tc>
            </w:tr>
            <w:tr>
              <w:trPr/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2268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Шестаков А.Л.</w:t>
                  </w:r>
                  <w:r/>
                </w:p>
              </w:tc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Mar>
                    <w:left w:w="0" w:type="dxa"/>
                    <w:top w:w="0" w:type="dxa"/>
                    <w:right w:w="0" w:type="dxa"/>
                    <w:bottom w:w="0" w:type="dxa"/>
                  </w:tcMar>
                  <w:tcW w:w="7512" w:type="dxa"/>
                  <w:vAlign w:val="center"/>
                  <w:textDirection w:val="lrTb"/>
                  <w:noWrap w:val="false"/>
                </w:tcPr>
                <w:p>
                  <w:pPr>
                    <w:spacing w:before="0" w:after="0" w:line="57" w:lineRule="atLeast"/>
                  </w:pPr>
                  <w:r>
                    <w:rPr>
                      <w:rFonts w:ascii="Tahoma" w:hAnsi="Tahoma" w:eastAsia="Tahoma" w:cs="Tahoma"/>
                      <w:color w:val="000000"/>
                      <w:sz w:val="24"/>
                    </w:rPr>
                    <w:t xml:space="preserve">д.т.н., профессор, Президент Международного НТО приборостроителей и метрологов, президент Южно-Уральского государственного университета</w:t>
                  </w:r>
                  <w:r/>
                </w:p>
              </w:tc>
            </w:tr>
          </w:tbl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4. Требование к участникам конкурса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существен­ных профессиональных результатов.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 участию в конкурсе допускаются лица, 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имеющие высшее техническое (инженерное) образование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и высокий уровень компетенции, независимо от их возраста, должности, наличия ученого звания и степени.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При этом соискатель должен располагать такими результатами научно-инженерной деятельности или инженерных разработок, которые по своим показателям находятся на уровне современных требований.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Уровень и потенциал компетентности соискателя определяется органами, выдвинувшими кандидатуру, с учетом следующих аспектов: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самостоятельность технического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конструи­рования машин и приборов;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общеинженерная и общенаучная организационно-экономическая подготовка, сочетание профессиональных знаний и практических навыков и умений;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комплексность подготовки, ориентированная на аналитичес­кую деятельность, гибкую адаптацию к изменениям содержания профессиональной деятельности;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умение свободно выражать свои суждения по техническим вопросам на базе научного анализа и синтеза;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способность работать над многодисциплинарными проектами;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знание основ методологии научно-технического поиска и методов научного исследования (моделирование и экспериментальные методы);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участие в формах непрерывного образования, самообразова­ния;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владение основами бизнеса, менеджмента, маркетинга, инновационной деятельности;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обладание профессиональной этикой и экологическим сознанием;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- практическая значимость полученных научных результатов и их технико-экономический эффект.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5. Порядок и срок представления кандидатур и материалов на конкурс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Кандидатуры на участие в конкурсе выдвигаются руководящими органами региональных общественных организаций научно-технических обществ, соответствующих союзов научно-технических организаций, домов науки и техники, домов инжене­ров, российских научно-техничес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ких обществ, жюри региональных конкурсов, а при их отсутствии в регионах – руководством предприятий и организаций по месту основной работы соискателя.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  <w:u w:val="single"/>
              </w:rPr>
              <w:t xml:space="preserve">Решение-рекомендация о выдвижении конкретной кандидатуры, содержащее мотивированное заключение о профессиональных дости­жениях соискателя и указание по какой версии участвует и в какой номинации он выдвигается оформляется на фирменном бланке предприятия и </w:t>
            </w:r>
            <w:r>
              <w:rPr>
                <w:rFonts w:ascii="Tahoma" w:hAnsi="Tahoma" w:eastAsia="Tahoma" w:cs="Tahoma"/>
                <w:b/>
                <w:color w:val="000000"/>
                <w:sz w:val="20"/>
                <w:u w:val="single"/>
              </w:rPr>
              <w:t xml:space="preserve">дополняется следующими сопроводительными материалами</w:t>
            </w:r>
            <w:r>
              <w:rPr>
                <w:rFonts w:ascii="Tahoma" w:hAnsi="Tahoma" w:eastAsia="Tahoma" w:cs="Tahoma"/>
                <w:color w:val="000000"/>
                <w:sz w:val="20"/>
                <w:u w:val="single"/>
              </w:rPr>
              <w:t xml:space="preserve">:</w:t>
            </w:r>
            <w:r/>
          </w:p>
          <w:p>
            <w:pPr>
              <w:pStyle w:val="603"/>
              <w:numPr>
                <w:ilvl w:val="0"/>
                <w:numId w:val="1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справка-объективка или личный листок по учету кадров;</w:t>
            </w:r>
            <w:r/>
          </w:p>
          <w:p>
            <w:pPr>
              <w:pStyle w:val="603"/>
              <w:numPr>
                <w:ilvl w:val="0"/>
                <w:numId w:val="2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копии дипломов о высшем образовании, ученой степени, ученом звании;</w:t>
            </w:r>
            <w:r/>
          </w:p>
          <w:p>
            <w:pPr>
              <w:pStyle w:val="603"/>
              <w:numPr>
                <w:ilvl w:val="0"/>
                <w:numId w:val="3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описание достижения кандидата в профессиональной деятельности;</w:t>
            </w:r>
            <w:r/>
          </w:p>
          <w:p>
            <w:pPr>
              <w:pStyle w:val="603"/>
              <w:numPr>
                <w:ilvl w:val="0"/>
                <w:numId w:val="4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согласие на обработку персональных данных (приложение № 1);</w:t>
            </w:r>
            <w:r/>
          </w:p>
          <w:p>
            <w:pPr>
              <w:pStyle w:val="603"/>
              <w:numPr>
                <w:ilvl w:val="0"/>
                <w:numId w:val="5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список научных работ, опубликованных кандидатом в печати, перечень изобретений, патентов и т.д.;</w:t>
            </w:r>
            <w:r/>
          </w:p>
          <w:p>
            <w:pPr>
              <w:pStyle w:val="603"/>
              <w:numPr>
                <w:ilvl w:val="0"/>
                <w:numId w:val="6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копия квитанции об оплате регистрационного взноса;</w:t>
            </w:r>
            <w:r/>
          </w:p>
          <w:p>
            <w:pPr>
              <w:pStyle w:val="603"/>
              <w:numPr>
                <w:ilvl w:val="0"/>
                <w:numId w:val="7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 цветные фотографии 4 х 6 см на бумажном носителе;</w:t>
            </w:r>
            <w:r/>
          </w:p>
          <w:p>
            <w:pPr>
              <w:pStyle w:val="603"/>
              <w:numPr>
                <w:ilvl w:val="0"/>
                <w:numId w:val="8"/>
              </w:numPr>
              <w:ind w:right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резюме для публикации в буклете на бумажном носителе (правила оформления резюме в приложении № 2).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Резюме для публикации в Реестре профессиональныъ инженеров России (буклете) в формате Word и цветную фотографию </w:t>
            </w:r>
            <w:r>
              <w:rPr>
                <w:rFonts w:ascii="Tahoma" w:hAnsi="Tahoma" w:eastAsia="Tahoma" w:cs="Tahoma"/>
                <w:b/>
                <w:color w:val="000000"/>
                <w:sz w:val="20"/>
                <w:u w:val="single"/>
              </w:rPr>
              <w:t xml:space="preserve">также необходимо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 в электронном виде направлять на электронную почту: </w:t>
            </w:r>
            <w:hyperlink r:id="rId10" w:tooltip="mailto:rusea1866@gmail.com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rusea1866@gmail.com</w:t>
              </w:r>
            </w:hyperlink>
            <w:r>
              <w:rPr>
                <w:rFonts w:ascii="Tahoma" w:hAnsi="Tahoma" w:eastAsia="Tahoma" w:cs="Tahoma"/>
                <w:color w:val="000000"/>
                <w:sz w:val="20"/>
              </w:rPr>
              <w:t xml:space="preserve">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Срок подачи пакета документов на участие в конкурсе до 15 ноября 2024 г. (по штемпелю)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6. Номинации конкурса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Конкурс проводится по следующим номинациям: 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1. Транспорт (автомобильный, железнодорожный, водный);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2. Транспортное и дорожное строительство;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3. Интеллектуальные системы и технологии обработки информации (технологии искусственного интеллекта);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4. Аппаратно-программные средства обработки информации, роботизированные устройства;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5. Телекоммуникационные системы и технологии;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6. Технологии и средства защиты информации;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7. Радиотехника, электроника, связь;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8. Химия и химические технологии;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9. Судостроение;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10. Сварка;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11. Черная металлургия 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12. Цветная металлургия;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13. Электроснабжение. Электрические сети и системы;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14. Атомная энергетика;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15. Электроэнергетика;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16. Теплоэнергетика, теплотехнологии;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17. Возобновляемые источники энергии;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18. Техника высоких напряжений;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19. Электротехника;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20. Нефтяная и газовая промышленность;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21. Керамическое производство;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22. Авиация и космонавтика;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23. Машиностроение;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24. Агроинженерия;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25. Строительство и стройиндустрия;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26. Приборостроение и диагностика;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27. Медицинская техника;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28. Деревообработка, бумажная промышленность, тара, упаковка, мебель, лесозаготовка;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29. Лесное хозяйство;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30. Текстильная и легкая промышленность;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31. Коммунальное хозяйство, бытовое обслуживание;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32. Геология, землеустройство, геодезия, картография;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32. Горная промышленность и подземное строительство;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33. Экология и мониторинг окружающей среды;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34. Полиграфия;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35. Пищевая промышленность;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36. Биотехнология;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37. Инженерная экономика;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38. Техника военного и специального назначения;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39. Диверсификация оборонно-промышленного комплекса;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40. Системы и технологии обеспечения безопасности производства, охрана труда;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41. Лазерная техника;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42. Менеджмент качества;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43. Оптика, оптико-механические, оптико-электронные системы;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44. Техника и технологии экстремально холодного климата;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46*. Организация управления научной и инженерной деятельностью;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47*. Организация управления промышленным производством;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48*. Организация управления строительством;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49. Международное сотрудничество;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50. Производство инновационной и высокотехнологичной продукции, включая импортозамещение;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51*. Инженерно-конструкторские школы и профессиональное наставничество.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52. Промышленный дизайн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____________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* Номинации рекомендуются для специалистов не моложе 31 года.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7. Процедуры отбора и награждение победителей конкурса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 сертификат и серебряный знак «Професси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ональный инженер России».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В ходе второго тура, в каждой номинации определяются три победителя – Лауреаты конкурса (соответственно по первой и второй его версиям).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Победители второго тура конкурса награждаются Дипломом жюри конкурса и памятной медалью «Лауреат конкурса».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На реверсе медали, вручаемой победителям второго тура конкурса по молодежной версии, содержится надпись: «Инженерное искусство молодых». Лауреатам конкурса по названной версии вручается также сертификат и серебряный знак «Профессиональный инженер России».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Материалы о проведении и итогах конкурса публикуются в средствах массовой информации.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Лауреаты и участники конкурса, получившие сертификат и серебряный знак «Профессиональный инженер России», заносятся в Реестр профессиональных инженеров России, размещен­ный на Web-сайте РосСНИО.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 итогам конкурса издается Реестр профессиональных инженеров России (буклет) с именами победителей конкурса и краткой информацией об их достижениях.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Победители конкурса по рекомендации Оргкомитета могут выдвигаться на соискание Премии Посла Китайской Народной Республики в Российской Федерации.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Подведение итогов и награждение победителей конкурса проводится с декабря 2024 г. по февраль 2025 г.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8. Регистрационный взнос и реквизиты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Регистрационный взнос участника конкурса составляет: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 версии «Инженерное искусство молодых» - 14300 руб. (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НДС не облагается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); 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 версии «Профессиональные инженеры» - 16400 руб. (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НДС не облагается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).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Реквизиты: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ИНН 7704036743/КПП 770401001 РосСНИО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р/с 40703810200000000067, ФИЛИАЛ "ЦЕНТРАЛЬНЫЙ"  Банка ВТБ ПАО г. МОСКВА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кор/счет 30101810145250000411 БИК 044525411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Назначение платежа: 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Оплата регистрационного взноса за участие в конкурсе, согласно Постановлению от 29.05.2024 г. № 39-1/2-1/6/29/1-5 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(НДС не облагается)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.</w:t>
            </w:r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По всем вопросам проведения конкурса и для получения консультаций обращаться в Оргкомитет конкурса по адресу: 119034, г. Москва, Курсовой пер., д.17, строение 1, т. (495) 695-16-08/21, т/ф. (495) 695-16-36. Сайт РосСНИО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 - </w:t>
            </w:r>
            <w:hyperlink r:id="rId11" w:tooltip="http://www.rusea.info/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http://www.rusea.</w:t>
              </w:r>
            </w:hyperlink>
            <w:hyperlink r:id="rId12" w:tooltip="http://www.rusea.info/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info</w:t>
              </w:r>
            </w:hyperlink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, </w:t>
            </w:r>
            <w:r>
              <w:rPr>
                <w:rFonts w:ascii="Tahoma" w:hAnsi="Tahoma" w:eastAsia="Tahoma" w:cs="Tahoma"/>
                <w:color w:val="000000"/>
                <w:sz w:val="20"/>
              </w:rPr>
              <w:t xml:space="preserve">электронная почта </w:t>
            </w:r>
            <w:r>
              <w:rPr>
                <w:rFonts w:ascii="Tahoma" w:hAnsi="Tahoma" w:eastAsia="Tahoma" w:cs="Tahoma"/>
                <w:b/>
                <w:color w:val="000000"/>
                <w:sz w:val="20"/>
              </w:rPr>
              <w:t xml:space="preserve">- </w:t>
            </w:r>
            <w:hyperlink r:id="rId13" w:tooltip="mailto:rusea1866@gmail.com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rusea1866@gmail.com</w:t>
              </w:r>
            </w:hyperlink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Бухгалтерия (по оплате регистрационного взноса) – т. (495) 695-16-23/50, электронная почта - </w:t>
            </w:r>
            <w:hyperlink r:id="rId14" w:tooltip="mailto:snio1866@gmail.com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snio1866@gmail.com</w:t>
              </w:r>
            </w:hyperlink>
            <w:r/>
          </w:p>
          <w:p>
            <w:pPr>
              <w:ind w:left="0" w:right="0" w:firstLine="0"/>
              <w:jc w:val="both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ahoma" w:hAnsi="Tahoma" w:eastAsia="Tahoma" w:cs="Tahoma"/>
                <w:color w:val="000000"/>
                <w:sz w:val="20"/>
              </w:rPr>
              <w:t xml:space="preserve">Координатор конкурса – Бурмистрова Татьяна Вячеславовна.</w:t>
            </w:r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5" w:tooltip="https://disk.yandex.ru/i/EwbfQ_1JBXrr6A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Правила оформления резюме</w:t>
              </w:r>
            </w:hyperlink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6" w:tooltip="https://disk.yandex.ru/i/O7mYYMDFV7xUMg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Пример оформления резюме</w:t>
              </w:r>
            </w:hyperlink>
            <w:r/>
          </w:p>
          <w:p>
            <w:pPr>
              <w:ind w:left="0" w:right="0" w:firstLine="0"/>
              <w:jc w:val="center"/>
              <w:spacing w:before="195" w:after="195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hyperlink r:id="rId17" w:tooltip="https://disk.yandex.ru/i/SCgm3k9bmqBwnw" w:history="1">
              <w:r>
                <w:rPr>
                  <w:rStyle w:val="174"/>
                  <w:rFonts w:ascii="Tahoma" w:hAnsi="Tahoma" w:eastAsia="Tahoma" w:cs="Tahoma"/>
                  <w:b/>
                  <w:color w:val="0000ff"/>
                  <w:sz w:val="20"/>
                  <w:u w:val="single"/>
                </w:rPr>
                <w:t xml:space="preserve">Согласие на обработку персональных данных</w:t>
              </w:r>
            </w:hyperlink>
            <w:r/>
            <w:r>
              <w:rPr>
                <w:rFonts w:ascii="Tahoma" w:hAnsi="Tahoma" w:eastAsia="Tahoma" w:cs="Tahoma"/>
                <w:color w:val="000000"/>
                <w:sz w:val="20"/>
              </w:rPr>
            </w:r>
            <w:r/>
            <w:r>
              <w:rPr>
                <w:rFonts w:ascii="Tahoma" w:hAnsi="Tahoma" w:eastAsia="Tahoma" w:cs="Tahoma"/>
                <w:sz w:val="20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09" w:hanging="360"/>
      </w:pPr>
      <w:rPr>
        <w:rFonts w:hint="default"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3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6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 Spacing"/>
    <w:basedOn w:val="599"/>
    <w:uiPriority w:val="1"/>
    <w:qFormat/>
    <w:pPr>
      <w:spacing w:after="0" w:line="240" w:lineRule="auto"/>
    </w:pPr>
  </w:style>
  <w:style w:type="paragraph" w:styleId="603">
    <w:name w:val="List Paragraph"/>
    <w:basedOn w:val="599"/>
    <w:uiPriority w:val="34"/>
    <w:qFormat/>
    <w:pPr>
      <w:contextualSpacing/>
      <w:ind w:left="720"/>
    </w:pPr>
  </w:style>
  <w:style w:type="character" w:styleId="60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xn--80aa3ak5a.xn--p1ai/" TargetMode="External"/><Relationship Id="rId10" Type="http://schemas.openxmlformats.org/officeDocument/2006/relationships/hyperlink" Target="mailto:rusea1866@gmail.com" TargetMode="External"/><Relationship Id="rId11" Type="http://schemas.openxmlformats.org/officeDocument/2006/relationships/hyperlink" Target="http://www.rusea.info/" TargetMode="External"/><Relationship Id="rId12" Type="http://schemas.openxmlformats.org/officeDocument/2006/relationships/hyperlink" Target="http://www.rusea.info/" TargetMode="External"/><Relationship Id="rId13" Type="http://schemas.openxmlformats.org/officeDocument/2006/relationships/hyperlink" Target="mailto:rusea1866@gmail.com" TargetMode="External"/><Relationship Id="rId14" Type="http://schemas.openxmlformats.org/officeDocument/2006/relationships/hyperlink" Target="mailto:snio1866@gmail.com" TargetMode="External"/><Relationship Id="rId15" Type="http://schemas.openxmlformats.org/officeDocument/2006/relationships/hyperlink" Target="https://disk.yandex.ru/i/EwbfQ_1JBXrr6A" TargetMode="External"/><Relationship Id="rId16" Type="http://schemas.openxmlformats.org/officeDocument/2006/relationships/hyperlink" Target="https://disk.yandex.ru/i/O7mYYMDFV7xUMg" TargetMode="External"/><Relationship Id="rId17" Type="http://schemas.openxmlformats.org/officeDocument/2006/relationships/hyperlink" Target="https://disk.yandex.ru/i/SCgm3k9bmqBwn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2024-07-29T07:41:11Z</dcterms:modified>
</cp:coreProperties>
</file>