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График дистанционных мероприятий с участниками оборота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безалкогольного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пива по вопросу вступлени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силу с 01.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.2024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обязательных требований о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есении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средств идентификации на безалкогольное пиво и представл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информационную систему мониторинга сведени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нанесении средств идентификации и вводе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оборот безалкогольного пива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*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42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Вопросы к обсуждению: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</w:p>
    <w:p>
      <w:pPr>
        <w:pStyle w:val="87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Презентация дорожной карты.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основных бизнес-процессов.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 на вопросы участников встречи.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71"/>
        <w:tblW w:w="14879" w:type="dxa"/>
        <w:tblLook w:val="04A0" w:firstRow="1" w:lastRow="0" w:firstColumn="1" w:lastColumn="0" w:noHBand="0" w:noVBand="1"/>
      </w:tblPr>
      <w:tblGrid>
        <w:gridCol w:w="889"/>
        <w:gridCol w:w="1374"/>
        <w:gridCol w:w="1701"/>
        <w:gridCol w:w="1843"/>
        <w:gridCol w:w="4678"/>
        <w:gridCol w:w="4394"/>
      </w:tblGrid>
      <w:tr>
        <w:tblPrEx/>
        <w:trPr>
          <w:trHeight w:val="347"/>
          <w:tblHeader/>
        </w:trPr>
        <w:tc>
          <w:tcPr>
            <w:tcW w:w="88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3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Время (МСК)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Спикер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Субъекты РФ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*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*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Ссылка для подключения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к мероприятию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*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*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*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blPrEx/>
        <w:trPr>
          <w:trHeight w:val="272"/>
        </w:trPr>
        <w:tc>
          <w:tcPr>
            <w:tcW w:w="8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3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19.07.2024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Тузлуков Артём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67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 субъекты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Вебинар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 безалкогольного пива. Дорожная карта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1" w:tooltip="https://my.mts-link.ru/j/95521243/2113164874" w:history="1">
              <w:r>
                <w:rPr>
                  <w:rStyle w:val="877"/>
                  <w:rFonts w:ascii="Times New Roman" w:hAnsi="Times New Roman" w:cs="Times New Roman"/>
                  <w:sz w:val="20"/>
                  <w:szCs w:val="20"/>
                </w:rPr>
                <w:t xml:space="preserve">https://my.mts-link.ru/j/95521243/2113164874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72"/>
        </w:trPr>
        <w:tc>
          <w:tcPr>
            <w:tcW w:w="8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3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08.08.2024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12.00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Тузлуков Артём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67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Карелия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Республика Коми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Архангельская область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Вологодская область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Калининградская область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Мурманская область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Новгородская область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Псковская область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 федерального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Санкт-Петербург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Ненецкий автономный округ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Курганская область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Свердловская область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Тюменская область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Челябинская область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Ханты-Мансийский автономный округ – Югра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Ямало-Ненецкий автономный округ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Вебинар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СЗФО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 безалкогольного пива. Дорожная карта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/>
            <w:hyperlink r:id="rId12" w:tooltip="https://my.mts-link.ru/j/95521243/1751635192" w:history="1">
              <w:r>
                <w:rPr>
                  <w:rStyle w:val="877"/>
                  <w:rFonts w:ascii="Times New Roman" w:hAnsi="Times New Roman" w:cs="Times New Roman"/>
                  <w:sz w:val="20"/>
                  <w:szCs w:val="20"/>
                </w:rPr>
                <w:t xml:space="preserve">https://my.mts-link.ru/j/95521243/1751635192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erReference w:type="default" r:id="rId9"/>
      <w:footnotePr/>
      <w:endnotePr/>
      <w:type w:val="nextPage"/>
      <w:pgSz w:w="16838" w:h="11906" w:orient="landscape"/>
      <w:pgMar w:top="85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 xml:space="preserve">*</w:t>
    </w:r>
    <w:r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 xml:space="preserve">     </w:t>
    </w:r>
    <w:r>
      <w:rPr>
        <w:rFonts w:ascii="Times New Roman" w:hAnsi="Times New Roman" w:cs="Times New Roman"/>
        <w:sz w:val="20"/>
        <w:szCs w:val="20"/>
      </w:rPr>
      <w:t xml:space="preserve">В соответствии с постановлением Правительства Российской Федерации №678 от 27.05.2024</w:t>
    </w:r>
    <w:r>
      <w:rPr>
        <w:rFonts w:ascii="Times New Roman" w:hAnsi="Times New Roman" w:cs="Times New Roman"/>
        <w:sz w:val="20"/>
        <w:szCs w:val="20"/>
      </w:rPr>
      <w:tab/>
      <w:t xml:space="preserve">     </w:t>
    </w:r>
    <w:r>
      <w:rPr>
        <w:rFonts w:ascii="Times New Roman" w:hAnsi="Times New Roman" w:cs="Times New Roman"/>
        <w:sz w:val="20"/>
        <w:szCs w:val="20"/>
      </w:rPr>
    </w:r>
    <w:r>
      <w:rPr>
        <w:rFonts w:ascii="Times New Roman" w:hAnsi="Times New Roman" w:cs="Times New Roman"/>
        <w:sz w:val="20"/>
        <w:szCs w:val="20"/>
      </w:rPr>
    </w:r>
  </w:p>
  <w:p>
    <w:pPr>
      <w:pStyle w:val="874"/>
      <w:rPr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**    </w:t>
    </w:r>
    <w:r>
      <w:rPr>
        <w:rFonts w:ascii="Times New Roman" w:hAnsi="Times New Roman" w:cs="Times New Roman"/>
        <w:sz w:val="20"/>
        <w:szCs w:val="20"/>
      </w:rPr>
      <w:t xml:space="preserve">Сотрудники профильных органов власти</w:t>
    </w:r>
    <w:r>
      <w:rPr>
        <w:rFonts w:ascii="Times New Roman" w:hAnsi="Times New Roman" w:cs="Times New Roman"/>
        <w:sz w:val="20"/>
        <w:szCs w:val="20"/>
      </w:rPr>
      <w:t xml:space="preserve"> (РОИВ)</w:t>
    </w:r>
    <w:r>
      <w:rPr>
        <w:rFonts w:ascii="Times New Roman" w:hAnsi="Times New Roman" w:cs="Times New Roman"/>
        <w:sz w:val="20"/>
        <w:szCs w:val="20"/>
      </w:rPr>
      <w:t xml:space="preserve">, производители, импортеры, представители розничного звена </w:t>
    </w:r>
    <w:r>
      <w:rPr>
        <w:rFonts w:ascii="Times New Roman" w:hAnsi="Times New Roman" w:cs="Times New Roman"/>
        <w:sz w:val="20"/>
        <w:szCs w:val="20"/>
      </w:rPr>
      <w:br/>
    </w:r>
    <w:r>
      <w:rPr>
        <w:rFonts w:ascii="Times New Roman" w:hAnsi="Times New Roman" w:cs="Times New Roman"/>
        <w:sz w:val="20"/>
        <w:szCs w:val="20"/>
      </w:rPr>
      <w:t xml:space="preserve">**</w:t>
    </w:r>
    <w:r>
      <w:rPr>
        <w:rFonts w:ascii="Times New Roman" w:hAnsi="Times New Roman" w:cs="Times New Roman"/>
        <w:sz w:val="20"/>
        <w:szCs w:val="20"/>
      </w:rPr>
      <w:t xml:space="preserve">*  Максимальное</w:t>
    </w:r>
    <w:r>
      <w:rPr>
        <w:rFonts w:ascii="Times New Roman" w:hAnsi="Times New Roman" w:cs="Times New Roman"/>
        <w:sz w:val="20"/>
        <w:szCs w:val="20"/>
      </w:rPr>
      <w:t xml:space="preserve"> количество участников – 1 000</w:t>
    </w:r>
    <w:r>
      <w:rPr>
        <w:rFonts w:ascii="Times New Roman" w:hAnsi="Times New Roman" w:cs="Times New Roman"/>
        <w:sz w:val="20"/>
        <w:szCs w:val="20"/>
      </w:rPr>
      <w:br/>
      <w:t xml:space="preserve">***</w:t>
    </w:r>
    <w:r>
      <w:rPr>
        <w:rFonts w:ascii="Times New Roman" w:hAnsi="Times New Roman" w:cs="Times New Roman"/>
        <w:sz w:val="20"/>
        <w:szCs w:val="20"/>
      </w:rPr>
      <w:t xml:space="preserve">*</w:t>
    </w:r>
    <w:r>
      <w:rPr>
        <w:rFonts w:ascii="Times New Roman" w:hAnsi="Times New Roman" w:cs="Times New Roman"/>
        <w:sz w:val="20"/>
        <w:szCs w:val="20"/>
      </w:rPr>
      <w:t xml:space="preserve">Запись мероприятия </w:t>
    </w:r>
    <w:r>
      <w:rPr>
        <w:rFonts w:ascii="Times New Roman" w:hAnsi="Times New Roman" w:cs="Times New Roman"/>
        <w:sz w:val="20"/>
        <w:szCs w:val="20"/>
      </w:rPr>
      <w:t xml:space="preserve">и материалы встречи </w:t>
    </w:r>
    <w:r>
      <w:rPr>
        <w:rFonts w:ascii="Times New Roman" w:hAnsi="Times New Roman" w:cs="Times New Roman"/>
        <w:sz w:val="20"/>
        <w:szCs w:val="20"/>
      </w:rPr>
      <w:t xml:space="preserve">буд</w:t>
    </w:r>
    <w:r>
      <w:rPr>
        <w:rFonts w:ascii="Times New Roman" w:hAnsi="Times New Roman" w:cs="Times New Roman"/>
        <w:sz w:val="20"/>
        <w:szCs w:val="20"/>
      </w:rPr>
      <w:t xml:space="preserve">у</w:t>
    </w:r>
    <w:r>
      <w:rPr>
        <w:rFonts w:ascii="Times New Roman" w:hAnsi="Times New Roman" w:cs="Times New Roman"/>
        <w:sz w:val="20"/>
        <w:szCs w:val="20"/>
      </w:rPr>
      <w:t xml:space="preserve">т направлен</w:t>
    </w:r>
    <w:r>
      <w:rPr>
        <w:rFonts w:ascii="Times New Roman" w:hAnsi="Times New Roman" w:cs="Times New Roman"/>
        <w:sz w:val="20"/>
        <w:szCs w:val="20"/>
      </w:rPr>
      <w:t xml:space="preserve">ы</w:t>
    </w:r>
    <w:r>
      <w:rPr>
        <w:rFonts w:ascii="Times New Roman" w:hAnsi="Times New Roman" w:cs="Times New Roman"/>
        <w:sz w:val="20"/>
        <w:szCs w:val="20"/>
      </w:rPr>
      <w:t xml:space="preserve"> всем зарегистрированным участникам</w:t>
    </w:r>
    <w:r>
      <w:rPr>
        <w:sz w:val="20"/>
        <w:szCs w:val="20"/>
      </w:rPr>
    </w:r>
    <w:r>
      <w:rPr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0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67"/>
    <w:next w:val="867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68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67"/>
    <w:next w:val="867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68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67"/>
    <w:next w:val="867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68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67"/>
    <w:next w:val="867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68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67"/>
    <w:next w:val="867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68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67"/>
    <w:next w:val="867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68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67"/>
    <w:next w:val="867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68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67"/>
    <w:next w:val="867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68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67"/>
    <w:next w:val="867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68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No Spacing"/>
    <w:uiPriority w:val="1"/>
    <w:qFormat/>
    <w:pPr>
      <w:spacing w:before="0" w:after="0" w:line="240" w:lineRule="auto"/>
    </w:pPr>
  </w:style>
  <w:style w:type="paragraph" w:styleId="713">
    <w:name w:val="Title"/>
    <w:basedOn w:val="867"/>
    <w:next w:val="867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>
    <w:name w:val="Title Char"/>
    <w:basedOn w:val="868"/>
    <w:link w:val="713"/>
    <w:uiPriority w:val="10"/>
    <w:rPr>
      <w:sz w:val="48"/>
      <w:szCs w:val="48"/>
    </w:rPr>
  </w:style>
  <w:style w:type="paragraph" w:styleId="715">
    <w:name w:val="Subtitle"/>
    <w:basedOn w:val="867"/>
    <w:next w:val="867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>
    <w:name w:val="Subtitle Char"/>
    <w:basedOn w:val="868"/>
    <w:link w:val="715"/>
    <w:uiPriority w:val="11"/>
    <w:rPr>
      <w:sz w:val="24"/>
      <w:szCs w:val="24"/>
    </w:rPr>
  </w:style>
  <w:style w:type="paragraph" w:styleId="717">
    <w:name w:val="Quote"/>
    <w:basedOn w:val="867"/>
    <w:next w:val="867"/>
    <w:link w:val="718"/>
    <w:uiPriority w:val="29"/>
    <w:qFormat/>
    <w:pPr>
      <w:ind w:left="720" w:right="720"/>
    </w:pPr>
    <w:rPr>
      <w:i/>
    </w:rPr>
  </w:style>
  <w:style w:type="character" w:styleId="718">
    <w:name w:val="Quote Char"/>
    <w:link w:val="717"/>
    <w:uiPriority w:val="29"/>
    <w:rPr>
      <w:i/>
    </w:rPr>
  </w:style>
  <w:style w:type="paragraph" w:styleId="719">
    <w:name w:val="Intense Quote"/>
    <w:basedOn w:val="867"/>
    <w:next w:val="867"/>
    <w:link w:val="7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>
    <w:name w:val="Intense Quote Char"/>
    <w:link w:val="719"/>
    <w:uiPriority w:val="30"/>
    <w:rPr>
      <w:i/>
    </w:rPr>
  </w:style>
  <w:style w:type="character" w:styleId="721">
    <w:name w:val="Header Char"/>
    <w:basedOn w:val="868"/>
    <w:link w:val="872"/>
    <w:uiPriority w:val="99"/>
  </w:style>
  <w:style w:type="character" w:styleId="722">
    <w:name w:val="Footer Char"/>
    <w:basedOn w:val="868"/>
    <w:link w:val="874"/>
    <w:uiPriority w:val="99"/>
  </w:style>
  <w:style w:type="paragraph" w:styleId="723">
    <w:name w:val="Caption"/>
    <w:basedOn w:val="867"/>
    <w:next w:val="8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basedOn w:val="723"/>
    <w:link w:val="874"/>
    <w:uiPriority w:val="99"/>
  </w:style>
  <w:style w:type="table" w:styleId="725">
    <w:name w:val="Table Grid Light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24">
    <w:name w:val="List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5">
    <w:name w:val="List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6">
    <w:name w:val="List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7">
    <w:name w:val="List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28">
    <w:name w:val="List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9">
    <w:name w:val="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31">
    <w:name w:val="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2">
    <w:name w:val="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3">
    <w:name w:val="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4">
    <w:name w:val="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5">
    <w:name w:val="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6">
    <w:name w:val="Bordered &amp; 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38">
    <w:name w:val="Bordered &amp; 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9">
    <w:name w:val="Bordered &amp; 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0">
    <w:name w:val="Bordered &amp; 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1">
    <w:name w:val="Bordered &amp; 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2">
    <w:name w:val="Bordered &amp; 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3">
    <w:name w:val="Bordered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0">
    <w:name w:val="footnote text"/>
    <w:basedOn w:val="867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basedOn w:val="868"/>
    <w:uiPriority w:val="99"/>
    <w:unhideWhenUsed/>
    <w:rPr>
      <w:vertAlign w:val="superscript"/>
    </w:rPr>
  </w:style>
  <w:style w:type="paragraph" w:styleId="853">
    <w:name w:val="endnote text"/>
    <w:basedOn w:val="867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>
    <w:name w:val="Endnote Text Char"/>
    <w:link w:val="853"/>
    <w:uiPriority w:val="99"/>
    <w:rPr>
      <w:sz w:val="20"/>
    </w:rPr>
  </w:style>
  <w:style w:type="character" w:styleId="855">
    <w:name w:val="endnote reference"/>
    <w:basedOn w:val="868"/>
    <w:uiPriority w:val="99"/>
    <w:semiHidden/>
    <w:unhideWhenUsed/>
    <w:rPr>
      <w:vertAlign w:val="superscript"/>
    </w:rPr>
  </w:style>
  <w:style w:type="paragraph" w:styleId="856">
    <w:name w:val="toc 1"/>
    <w:basedOn w:val="867"/>
    <w:next w:val="867"/>
    <w:uiPriority w:val="39"/>
    <w:unhideWhenUsed/>
    <w:pPr>
      <w:ind w:left="0" w:right="0" w:firstLine="0"/>
      <w:spacing w:after="57"/>
    </w:pPr>
  </w:style>
  <w:style w:type="paragraph" w:styleId="857">
    <w:name w:val="toc 2"/>
    <w:basedOn w:val="867"/>
    <w:next w:val="867"/>
    <w:uiPriority w:val="39"/>
    <w:unhideWhenUsed/>
    <w:pPr>
      <w:ind w:left="283" w:right="0" w:firstLine="0"/>
      <w:spacing w:after="57"/>
    </w:pPr>
  </w:style>
  <w:style w:type="paragraph" w:styleId="858">
    <w:name w:val="toc 3"/>
    <w:basedOn w:val="867"/>
    <w:next w:val="867"/>
    <w:uiPriority w:val="39"/>
    <w:unhideWhenUsed/>
    <w:pPr>
      <w:ind w:left="567" w:right="0" w:firstLine="0"/>
      <w:spacing w:after="57"/>
    </w:pPr>
  </w:style>
  <w:style w:type="paragraph" w:styleId="859">
    <w:name w:val="toc 4"/>
    <w:basedOn w:val="867"/>
    <w:next w:val="867"/>
    <w:uiPriority w:val="39"/>
    <w:unhideWhenUsed/>
    <w:pPr>
      <w:ind w:left="850" w:right="0" w:firstLine="0"/>
      <w:spacing w:after="57"/>
    </w:pPr>
  </w:style>
  <w:style w:type="paragraph" w:styleId="860">
    <w:name w:val="toc 5"/>
    <w:basedOn w:val="867"/>
    <w:next w:val="867"/>
    <w:uiPriority w:val="39"/>
    <w:unhideWhenUsed/>
    <w:pPr>
      <w:ind w:left="1134" w:right="0" w:firstLine="0"/>
      <w:spacing w:after="57"/>
    </w:pPr>
  </w:style>
  <w:style w:type="paragraph" w:styleId="861">
    <w:name w:val="toc 6"/>
    <w:basedOn w:val="867"/>
    <w:next w:val="867"/>
    <w:uiPriority w:val="39"/>
    <w:unhideWhenUsed/>
    <w:pPr>
      <w:ind w:left="1417" w:right="0" w:firstLine="0"/>
      <w:spacing w:after="57"/>
    </w:pPr>
  </w:style>
  <w:style w:type="paragraph" w:styleId="862">
    <w:name w:val="toc 7"/>
    <w:basedOn w:val="867"/>
    <w:next w:val="867"/>
    <w:uiPriority w:val="39"/>
    <w:unhideWhenUsed/>
    <w:pPr>
      <w:ind w:left="1701" w:right="0" w:firstLine="0"/>
      <w:spacing w:after="57"/>
    </w:pPr>
  </w:style>
  <w:style w:type="paragraph" w:styleId="863">
    <w:name w:val="toc 8"/>
    <w:basedOn w:val="867"/>
    <w:next w:val="867"/>
    <w:uiPriority w:val="39"/>
    <w:unhideWhenUsed/>
    <w:pPr>
      <w:ind w:left="1984" w:right="0" w:firstLine="0"/>
      <w:spacing w:after="57"/>
    </w:pPr>
  </w:style>
  <w:style w:type="paragraph" w:styleId="864">
    <w:name w:val="toc 9"/>
    <w:basedOn w:val="867"/>
    <w:next w:val="867"/>
    <w:uiPriority w:val="39"/>
    <w:unhideWhenUsed/>
    <w:pPr>
      <w:ind w:left="2268" w:right="0" w:firstLine="0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867"/>
    <w:next w:val="867"/>
    <w:uiPriority w:val="99"/>
    <w:unhideWhenUsed/>
    <w:pPr>
      <w:spacing w:after="0" w:afterAutospacing="0"/>
    </w:pPr>
  </w:style>
  <w:style w:type="paragraph" w:styleId="867" w:default="1">
    <w:name w:val="Normal"/>
    <w:qFormat/>
  </w:style>
  <w:style w:type="character" w:styleId="868" w:default="1">
    <w:name w:val="Default Paragraph Font"/>
    <w:uiPriority w:val="1"/>
    <w:semiHidden/>
    <w:unhideWhenUsed/>
  </w:style>
  <w:style w:type="table" w:styleId="8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0" w:default="1">
    <w:name w:val="No List"/>
    <w:uiPriority w:val="99"/>
    <w:semiHidden/>
    <w:unhideWhenUsed/>
  </w:style>
  <w:style w:type="table" w:styleId="871">
    <w:name w:val="Table Grid"/>
    <w:basedOn w:val="86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2">
    <w:name w:val="Header"/>
    <w:basedOn w:val="867"/>
    <w:link w:val="8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3" w:customStyle="1">
    <w:name w:val="Верхний колонтитул Знак"/>
    <w:basedOn w:val="868"/>
    <w:link w:val="872"/>
    <w:uiPriority w:val="99"/>
  </w:style>
  <w:style w:type="paragraph" w:styleId="874">
    <w:name w:val="Footer"/>
    <w:basedOn w:val="867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Нижний колонтитул Знак"/>
    <w:basedOn w:val="868"/>
    <w:link w:val="874"/>
    <w:uiPriority w:val="99"/>
  </w:style>
  <w:style w:type="paragraph" w:styleId="876">
    <w:name w:val="List Paragraph"/>
    <w:basedOn w:val="867"/>
    <w:uiPriority w:val="34"/>
    <w:qFormat/>
    <w:pPr>
      <w:contextualSpacing/>
      <w:ind w:left="720"/>
      <w:spacing w:line="256" w:lineRule="auto"/>
    </w:pPr>
  </w:style>
  <w:style w:type="character" w:styleId="877">
    <w:name w:val="Hyperlink"/>
    <w:basedOn w:val="868"/>
    <w:uiPriority w:val="99"/>
    <w:unhideWhenUsed/>
    <w:rPr>
      <w:color w:val="0563c1" w:themeColor="hyperlink"/>
      <w:u w:val="single"/>
    </w:rPr>
  </w:style>
  <w:style w:type="character" w:styleId="878">
    <w:name w:val="Unresolved Mention"/>
    <w:basedOn w:val="86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y.mts-link.ru/j/95521243/2113164874" TargetMode="External"/><Relationship Id="rId12" Type="http://schemas.openxmlformats.org/officeDocument/2006/relationships/hyperlink" Target="https://my.mts-link.ru/j/95521243/175163519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B76D8-1803-4329-9CF7-853490C91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Серикова Ольга</dc:creator>
  <cp:keywords/>
  <dc:description/>
  <cp:revision>11</cp:revision>
  <dcterms:created xsi:type="dcterms:W3CDTF">2024-07-02T12:42:00Z</dcterms:created>
  <dcterms:modified xsi:type="dcterms:W3CDTF">2024-07-16T09:57:55Z</dcterms:modified>
</cp:coreProperties>
</file>