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348C5B10" w:rsidR="006F03D8" w:rsidRPr="006F03D8" w:rsidRDefault="00160776" w:rsidP="00127F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2B04B5" w:rsidRPr="00B773BA">
              <w:rPr>
                <w:sz w:val="28"/>
                <w:szCs w:val="28"/>
              </w:rPr>
              <w:t xml:space="preserve">от </w:t>
            </w:r>
            <w:r w:rsidR="00127F45">
              <w:rPr>
                <w:sz w:val="28"/>
                <w:szCs w:val="28"/>
              </w:rPr>
              <w:t>16</w:t>
            </w:r>
            <w:r w:rsidR="006624E6">
              <w:rPr>
                <w:sz w:val="28"/>
                <w:szCs w:val="28"/>
              </w:rPr>
              <w:t>.0</w:t>
            </w:r>
            <w:r w:rsidR="00127F45">
              <w:rPr>
                <w:sz w:val="28"/>
                <w:szCs w:val="28"/>
              </w:rPr>
              <w:t>4</w:t>
            </w:r>
            <w:r w:rsidR="002B04B5">
              <w:rPr>
                <w:sz w:val="28"/>
                <w:szCs w:val="28"/>
              </w:rPr>
              <w:t>.</w:t>
            </w:r>
            <w:r w:rsidR="002B04B5" w:rsidRPr="00B773BA">
              <w:rPr>
                <w:sz w:val="28"/>
                <w:szCs w:val="28"/>
              </w:rPr>
              <w:t>202</w:t>
            </w:r>
            <w:r w:rsidR="006624E6">
              <w:rPr>
                <w:sz w:val="28"/>
                <w:szCs w:val="28"/>
              </w:rPr>
              <w:t>4</w:t>
            </w:r>
            <w:r w:rsidR="002B04B5">
              <w:rPr>
                <w:sz w:val="28"/>
                <w:szCs w:val="28"/>
              </w:rPr>
              <w:t xml:space="preserve"> № </w:t>
            </w:r>
            <w:r w:rsidRPr="00B773BA">
              <w:rPr>
                <w:sz w:val="28"/>
                <w:szCs w:val="28"/>
              </w:rPr>
              <w:t>СП-</w:t>
            </w:r>
            <w:r w:rsidR="003F2615">
              <w:rPr>
                <w:sz w:val="28"/>
                <w:szCs w:val="28"/>
              </w:rPr>
              <w:t>222-</w:t>
            </w:r>
            <w:r w:rsidR="006624E6">
              <w:rPr>
                <w:sz w:val="28"/>
                <w:szCs w:val="28"/>
              </w:rPr>
              <w:t>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1" w:type="dxa"/>
          </w:tcPr>
          <w:p w14:paraId="644F2B78" w14:textId="3A8B4852" w:rsidR="00127F45" w:rsidRPr="006624E6" w:rsidRDefault="00127F45" w:rsidP="00127F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4D12116" w14:textId="7AC22B8F" w:rsidR="007941FD" w:rsidRDefault="007941FD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4179218C" w14:textId="75157FB4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5111426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3B1B0801" w:rsidR="007E69FF" w:rsidRPr="003D67D9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>Управление муниципальными финансами города Нефтеюганска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1"/>
    <w:bookmarkEnd w:id="2"/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3A374068" w:rsidR="007E69FF" w:rsidRPr="003D67D9" w:rsidRDefault="007E69FF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>Управление муниципальными финансами города Нефтеюганска</w:t>
      </w:r>
      <w:r w:rsidRPr="003D67D9">
        <w:rPr>
          <w:rFonts w:ascii="Times New Roman" w:hAnsi="Times New Roman" w:cs="Times New Roman"/>
          <w:sz w:val="28"/>
          <w:szCs w:val="28"/>
        </w:rPr>
        <w:t>» (далее по тексту – проект изменений), сообщает следующее:</w:t>
      </w:r>
    </w:p>
    <w:p w14:paraId="36941A5E" w14:textId="77777777" w:rsidR="00503FE6" w:rsidRPr="003D67D9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77777777" w:rsidR="00803FB0" w:rsidRPr="00B02480" w:rsidRDefault="00503FE6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-требованиям,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7E69D931" w:rsidR="00B02480" w:rsidRPr="00B02480" w:rsidRDefault="00803FB0" w:rsidP="00B02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77777777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-структурным элементам, целям муниципальной программы;</w:t>
      </w:r>
    </w:p>
    <w:p w14:paraId="5904EAB3" w14:textId="77777777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-срокам ее реализации, задачам муниципальной программы;</w:t>
      </w:r>
    </w:p>
    <w:p w14:paraId="2CACB11E" w14:textId="77777777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-целевым показателям, характеризующим результаты ее реализации, целям муниципальной программы и ее структурным элементам.</w:t>
      </w:r>
    </w:p>
    <w:p w14:paraId="2EFAF62D" w14:textId="77777777" w:rsidR="00503FE6" w:rsidRPr="00B02480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2. Предоставленный проект изменений соответствует Порядку от 18.04.2019 № 77-нп.</w:t>
      </w:r>
    </w:p>
    <w:p w14:paraId="41CCB45B" w14:textId="3137DA53" w:rsidR="005C7696" w:rsidRPr="00B02480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Проектом изменений планируется </w:t>
      </w:r>
      <w:r w:rsidR="00127F45">
        <w:rPr>
          <w:rFonts w:ascii="Times New Roman" w:hAnsi="Times New Roman" w:cs="Times New Roman"/>
          <w:sz w:val="28"/>
          <w:szCs w:val="28"/>
        </w:rPr>
        <w:t>уменьшить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объём финансирования муниципальной программы</w:t>
      </w:r>
      <w:r w:rsidR="005C7696" w:rsidRPr="00B02480">
        <w:rPr>
          <w:rFonts w:ascii="Times New Roman" w:hAnsi="Times New Roman" w:cs="Times New Roman"/>
          <w:sz w:val="28"/>
          <w:szCs w:val="28"/>
        </w:rPr>
        <w:t xml:space="preserve"> 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ответственному исполнителю </w:t>
      </w:r>
      <w:r w:rsidR="003D67D9">
        <w:rPr>
          <w:rFonts w:ascii="Times New Roman" w:hAnsi="Times New Roman" w:cs="Times New Roman"/>
          <w:sz w:val="28"/>
          <w:szCs w:val="28"/>
        </w:rPr>
        <w:t>департаменту финансов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 </w:t>
      </w:r>
      <w:r w:rsidR="006F61CB">
        <w:rPr>
          <w:rFonts w:ascii="Times New Roman" w:hAnsi="Times New Roman" w:cs="Times New Roman"/>
          <w:sz w:val="28"/>
          <w:szCs w:val="28"/>
        </w:rPr>
        <w:t xml:space="preserve">по структурному элементу «Комплекс процессных мероприятий «Обеспечение деятельности органов местного самоуправления города Нефтеюганска» </w:t>
      </w:r>
      <w:r w:rsidR="005C7696" w:rsidRPr="00B02480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127F45">
        <w:rPr>
          <w:rFonts w:ascii="Times New Roman" w:hAnsi="Times New Roman" w:cs="Times New Roman"/>
          <w:sz w:val="28"/>
          <w:szCs w:val="28"/>
        </w:rPr>
        <w:t>50,000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тыс. рублей</w:t>
      </w:r>
      <w:bookmarkStart w:id="3" w:name="_Hlk127363978"/>
      <w:r w:rsidR="006624E6" w:rsidRPr="00B02480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127F45">
        <w:rPr>
          <w:rFonts w:ascii="Times New Roman" w:hAnsi="Times New Roman" w:cs="Times New Roman"/>
          <w:sz w:val="28"/>
          <w:szCs w:val="28"/>
        </w:rPr>
        <w:t>в связи с перераспределением бюджетных ассигнований на непрограммные расходы «Исполнение судебных актов Российской Федерации и мировых соглашений по возмещению причинённого ущерба»</w:t>
      </w:r>
      <w:r w:rsidR="005C7696" w:rsidRPr="00B02480">
        <w:rPr>
          <w:rFonts w:ascii="Times New Roman" w:hAnsi="Times New Roman" w:cs="Times New Roman"/>
          <w:sz w:val="28"/>
          <w:szCs w:val="28"/>
        </w:rPr>
        <w:t>.</w:t>
      </w:r>
    </w:p>
    <w:p w14:paraId="780F334B" w14:textId="77777777" w:rsidR="001F501A" w:rsidRPr="00B02480" w:rsidRDefault="00503FE6" w:rsidP="001F50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7B7F3E"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1F501A" w:rsidRPr="00B02480">
        <w:rPr>
          <w:rFonts w:ascii="Times New Roman" w:hAnsi="Times New Roman" w:cs="Times New Roman"/>
          <w:sz w:val="28"/>
        </w:rPr>
        <w:t>Финансовые показатели, содержащиеся в проекте изменений, соответствуют расчётам.</w:t>
      </w:r>
    </w:p>
    <w:p w14:paraId="0BB8FB34" w14:textId="74E1087A" w:rsidR="001E18E8" w:rsidRPr="001E18E8" w:rsidRDefault="00A8303B" w:rsidP="001F50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проведения</w:t>
      </w:r>
      <w:r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экспертизы замечания </w:t>
      </w:r>
      <w:r w:rsidR="00C30A08"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>и рекомендации отсутствуют</w:t>
      </w:r>
      <w:r w:rsidR="001E18E8"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1B196344" w14:textId="77777777" w:rsidR="001E18E8" w:rsidRDefault="001E18E8" w:rsidP="001F501A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14:paraId="0CB54705" w14:textId="77777777" w:rsidR="00BE3665" w:rsidRPr="009D4295" w:rsidRDefault="00BE3665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3DCC7C56" w:rsidR="00EA39D2" w:rsidRDefault="00A830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97AFFB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C81DCB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09F997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8BB9D9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5B1C20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855089" w14:textId="20F2143E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FF4227" w14:textId="38998B6A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8632A8" w14:textId="38523D02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FB57CF" w14:textId="5664711F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5492B1" w14:textId="558C87BC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4025AB" w14:textId="36F1D9F4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432E65" w14:textId="6757C0D7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509D02" w14:textId="09587C64" w:rsidR="007F1BBF" w:rsidRDefault="007F1BB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A8CF70" w14:textId="5E81052A" w:rsidR="005C7696" w:rsidRDefault="005C769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B01725" w14:textId="49B13BD2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50C4F3" w14:textId="0AC050CA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E7FC59" w14:textId="140CE716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09EC6A" w14:textId="02F35B90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0C422F" w14:textId="377AF511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185DA7" w14:textId="13D494EA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619273" w14:textId="449FE0F0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8529AF" w14:textId="7F4D9F64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E8C692" w14:textId="69266EF8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05BB72" w14:textId="65863B81" w:rsidR="003D67D9" w:rsidRDefault="003D67D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A5B800" w14:textId="77777777" w:rsidR="003D67D9" w:rsidRDefault="003D67D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151DCB" w14:textId="77777777" w:rsidR="00B02480" w:rsidRDefault="00B0248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736F9F76" w:rsidR="00BE3665" w:rsidRPr="00BF31FC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0A21158" w14:textId="28381B8C" w:rsidR="00A8303B" w:rsidRDefault="006F61C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</w:t>
      </w:r>
      <w:r w:rsidR="00BE3665" w:rsidRPr="00BF31FC">
        <w:rPr>
          <w:rFonts w:ascii="Times New Roman" w:hAnsi="Times New Roman" w:cs="Times New Roman"/>
          <w:sz w:val="20"/>
          <w:szCs w:val="20"/>
        </w:rPr>
        <w:t xml:space="preserve"> инспекторского отдела № </w:t>
      </w:r>
      <w:r>
        <w:rPr>
          <w:rFonts w:ascii="Times New Roman" w:hAnsi="Times New Roman" w:cs="Times New Roman"/>
          <w:sz w:val="20"/>
          <w:szCs w:val="20"/>
        </w:rPr>
        <w:t>1</w:t>
      </w:r>
    </w:p>
    <w:p w14:paraId="5FDF321B" w14:textId="267AB958" w:rsidR="00BE3665" w:rsidRPr="00BF31FC" w:rsidRDefault="006F61C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Портнова Людмила</w:t>
      </w:r>
      <w:r w:rsidR="00A8303B">
        <w:rPr>
          <w:rFonts w:ascii="Times New Roman" w:hAnsi="Times New Roman" w:cs="Times New Roman"/>
          <w:sz w:val="20"/>
          <w:szCs w:val="20"/>
        </w:rPr>
        <w:t xml:space="preserve"> Николаевна</w:t>
      </w:r>
    </w:p>
    <w:p w14:paraId="0CA8BFFE" w14:textId="193F36E7" w:rsidR="00BE3665" w:rsidRPr="00BF31FC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8 (3463) 20-3</w:t>
      </w:r>
      <w:r w:rsidR="006F61CB">
        <w:rPr>
          <w:rFonts w:ascii="Times New Roman" w:hAnsi="Times New Roman" w:cs="Times New Roman"/>
          <w:sz w:val="20"/>
          <w:szCs w:val="20"/>
        </w:rPr>
        <w:t>0-54</w:t>
      </w:r>
    </w:p>
    <w:sectPr w:rsidR="00BE3665" w:rsidRPr="00BF31FC" w:rsidSect="00126235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9F2E8" w14:textId="77777777" w:rsidR="0040736F" w:rsidRDefault="0040736F" w:rsidP="0030765E">
      <w:pPr>
        <w:spacing w:after="0" w:line="240" w:lineRule="auto"/>
      </w:pPr>
      <w:r>
        <w:separator/>
      </w:r>
    </w:p>
  </w:endnote>
  <w:endnote w:type="continuationSeparator" w:id="0">
    <w:p w14:paraId="0515B86E" w14:textId="77777777" w:rsidR="0040736F" w:rsidRDefault="0040736F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76A3F" w14:textId="77777777" w:rsidR="0040736F" w:rsidRDefault="0040736F" w:rsidP="0030765E">
      <w:pPr>
        <w:spacing w:after="0" w:line="240" w:lineRule="auto"/>
      </w:pPr>
      <w:r>
        <w:separator/>
      </w:r>
    </w:p>
  </w:footnote>
  <w:footnote w:type="continuationSeparator" w:id="0">
    <w:p w14:paraId="36D8DCC3" w14:textId="77777777" w:rsidR="0040736F" w:rsidRDefault="0040736F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2A1AAAE1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1CB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10B24"/>
    <w:rsid w:val="000202AC"/>
    <w:rsid w:val="000222C5"/>
    <w:rsid w:val="00031F33"/>
    <w:rsid w:val="0004301B"/>
    <w:rsid w:val="00060F53"/>
    <w:rsid w:val="000664A5"/>
    <w:rsid w:val="00084D0D"/>
    <w:rsid w:val="000B08E8"/>
    <w:rsid w:val="000D419E"/>
    <w:rsid w:val="000E1189"/>
    <w:rsid w:val="000E153A"/>
    <w:rsid w:val="000E2165"/>
    <w:rsid w:val="000E238D"/>
    <w:rsid w:val="000F2540"/>
    <w:rsid w:val="000F61E1"/>
    <w:rsid w:val="00107777"/>
    <w:rsid w:val="00114CB5"/>
    <w:rsid w:val="00126235"/>
    <w:rsid w:val="00127F45"/>
    <w:rsid w:val="00143A89"/>
    <w:rsid w:val="00150DA9"/>
    <w:rsid w:val="00155D79"/>
    <w:rsid w:val="00160776"/>
    <w:rsid w:val="00180D76"/>
    <w:rsid w:val="00183F28"/>
    <w:rsid w:val="0019335D"/>
    <w:rsid w:val="001A694A"/>
    <w:rsid w:val="001C7FB4"/>
    <w:rsid w:val="001E11BF"/>
    <w:rsid w:val="001E18E8"/>
    <w:rsid w:val="001E3711"/>
    <w:rsid w:val="001F432A"/>
    <w:rsid w:val="001F501A"/>
    <w:rsid w:val="00200226"/>
    <w:rsid w:val="00204968"/>
    <w:rsid w:val="0026692B"/>
    <w:rsid w:val="002729B4"/>
    <w:rsid w:val="002802BE"/>
    <w:rsid w:val="00290BC5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F7DEB"/>
    <w:rsid w:val="00301CCF"/>
    <w:rsid w:val="0030765E"/>
    <w:rsid w:val="003267B3"/>
    <w:rsid w:val="00327B0A"/>
    <w:rsid w:val="00343FC8"/>
    <w:rsid w:val="00361DBE"/>
    <w:rsid w:val="00362369"/>
    <w:rsid w:val="00374714"/>
    <w:rsid w:val="00382BEC"/>
    <w:rsid w:val="003838F2"/>
    <w:rsid w:val="00390BE0"/>
    <w:rsid w:val="003A075F"/>
    <w:rsid w:val="003A2D54"/>
    <w:rsid w:val="003A59B5"/>
    <w:rsid w:val="003A6D2C"/>
    <w:rsid w:val="003B3FC8"/>
    <w:rsid w:val="003B4838"/>
    <w:rsid w:val="003D67D9"/>
    <w:rsid w:val="003E192D"/>
    <w:rsid w:val="003E41B3"/>
    <w:rsid w:val="003E57CF"/>
    <w:rsid w:val="003F0301"/>
    <w:rsid w:val="003F2615"/>
    <w:rsid w:val="0040736F"/>
    <w:rsid w:val="00415943"/>
    <w:rsid w:val="00463727"/>
    <w:rsid w:val="0047123F"/>
    <w:rsid w:val="00473D41"/>
    <w:rsid w:val="00476C9E"/>
    <w:rsid w:val="00496AD5"/>
    <w:rsid w:val="004A5102"/>
    <w:rsid w:val="004C6C64"/>
    <w:rsid w:val="004D4F3E"/>
    <w:rsid w:val="004D7D3B"/>
    <w:rsid w:val="00503FE6"/>
    <w:rsid w:val="00506648"/>
    <w:rsid w:val="00510A56"/>
    <w:rsid w:val="0051318D"/>
    <w:rsid w:val="005232F8"/>
    <w:rsid w:val="005369EC"/>
    <w:rsid w:val="00550BD7"/>
    <w:rsid w:val="0055199E"/>
    <w:rsid w:val="00591101"/>
    <w:rsid w:val="0059149C"/>
    <w:rsid w:val="005B45EF"/>
    <w:rsid w:val="005C468E"/>
    <w:rsid w:val="005C7696"/>
    <w:rsid w:val="005C7B57"/>
    <w:rsid w:val="005D1B49"/>
    <w:rsid w:val="005D698C"/>
    <w:rsid w:val="005E066B"/>
    <w:rsid w:val="005E4C19"/>
    <w:rsid w:val="00601490"/>
    <w:rsid w:val="006276F9"/>
    <w:rsid w:val="006326F0"/>
    <w:rsid w:val="0064029A"/>
    <w:rsid w:val="00640653"/>
    <w:rsid w:val="00646855"/>
    <w:rsid w:val="0064720D"/>
    <w:rsid w:val="00650033"/>
    <w:rsid w:val="00657D98"/>
    <w:rsid w:val="006624E6"/>
    <w:rsid w:val="006758D8"/>
    <w:rsid w:val="006B2FDE"/>
    <w:rsid w:val="006D109D"/>
    <w:rsid w:val="006D1FB8"/>
    <w:rsid w:val="006D52F4"/>
    <w:rsid w:val="006F007D"/>
    <w:rsid w:val="006F03D8"/>
    <w:rsid w:val="006F61CB"/>
    <w:rsid w:val="00706348"/>
    <w:rsid w:val="00730431"/>
    <w:rsid w:val="007324F9"/>
    <w:rsid w:val="00734AF0"/>
    <w:rsid w:val="00735E7F"/>
    <w:rsid w:val="00736907"/>
    <w:rsid w:val="007446BF"/>
    <w:rsid w:val="007475DD"/>
    <w:rsid w:val="00757718"/>
    <w:rsid w:val="00775FA6"/>
    <w:rsid w:val="007831EB"/>
    <w:rsid w:val="007924AC"/>
    <w:rsid w:val="007941FD"/>
    <w:rsid w:val="00796362"/>
    <w:rsid w:val="007B7F3E"/>
    <w:rsid w:val="007C6513"/>
    <w:rsid w:val="007D7324"/>
    <w:rsid w:val="007E69FF"/>
    <w:rsid w:val="007F1BBF"/>
    <w:rsid w:val="007F1CE2"/>
    <w:rsid w:val="00803FB0"/>
    <w:rsid w:val="0081685F"/>
    <w:rsid w:val="0082417F"/>
    <w:rsid w:val="00824E3E"/>
    <w:rsid w:val="008347DD"/>
    <w:rsid w:val="00834CA7"/>
    <w:rsid w:val="0083549F"/>
    <w:rsid w:val="008375CE"/>
    <w:rsid w:val="00845A3E"/>
    <w:rsid w:val="00872B1C"/>
    <w:rsid w:val="008A328F"/>
    <w:rsid w:val="008C1CA9"/>
    <w:rsid w:val="008E220B"/>
    <w:rsid w:val="008F0ED5"/>
    <w:rsid w:val="008F49AD"/>
    <w:rsid w:val="00903456"/>
    <w:rsid w:val="00904AB2"/>
    <w:rsid w:val="00906FA5"/>
    <w:rsid w:val="00922AAD"/>
    <w:rsid w:val="00923CEB"/>
    <w:rsid w:val="0093780F"/>
    <w:rsid w:val="0096101F"/>
    <w:rsid w:val="009631F2"/>
    <w:rsid w:val="009837E2"/>
    <w:rsid w:val="00992A17"/>
    <w:rsid w:val="00997C8C"/>
    <w:rsid w:val="009A4969"/>
    <w:rsid w:val="009B0EF0"/>
    <w:rsid w:val="009B26B7"/>
    <w:rsid w:val="009B4251"/>
    <w:rsid w:val="009C012F"/>
    <w:rsid w:val="009C0769"/>
    <w:rsid w:val="009D4295"/>
    <w:rsid w:val="009D5DB0"/>
    <w:rsid w:val="009E0995"/>
    <w:rsid w:val="00A020D6"/>
    <w:rsid w:val="00A0767F"/>
    <w:rsid w:val="00A1099E"/>
    <w:rsid w:val="00A14461"/>
    <w:rsid w:val="00A5007C"/>
    <w:rsid w:val="00A575A2"/>
    <w:rsid w:val="00A6099C"/>
    <w:rsid w:val="00A6263E"/>
    <w:rsid w:val="00A71FB0"/>
    <w:rsid w:val="00A8303B"/>
    <w:rsid w:val="00A83739"/>
    <w:rsid w:val="00AA297A"/>
    <w:rsid w:val="00AA600C"/>
    <w:rsid w:val="00AB57D8"/>
    <w:rsid w:val="00AC4E0A"/>
    <w:rsid w:val="00AC55A5"/>
    <w:rsid w:val="00AD700A"/>
    <w:rsid w:val="00AD7727"/>
    <w:rsid w:val="00AE6F4B"/>
    <w:rsid w:val="00AF14EC"/>
    <w:rsid w:val="00AF215F"/>
    <w:rsid w:val="00B02480"/>
    <w:rsid w:val="00B02ED2"/>
    <w:rsid w:val="00B316FC"/>
    <w:rsid w:val="00B4461B"/>
    <w:rsid w:val="00B55341"/>
    <w:rsid w:val="00B573BF"/>
    <w:rsid w:val="00B61B3D"/>
    <w:rsid w:val="00B64FBE"/>
    <w:rsid w:val="00B71C85"/>
    <w:rsid w:val="00B760A1"/>
    <w:rsid w:val="00B773BA"/>
    <w:rsid w:val="00B775FD"/>
    <w:rsid w:val="00B77FAC"/>
    <w:rsid w:val="00B83AA8"/>
    <w:rsid w:val="00B876C9"/>
    <w:rsid w:val="00BD1199"/>
    <w:rsid w:val="00BD70E5"/>
    <w:rsid w:val="00BD7858"/>
    <w:rsid w:val="00BD7F7C"/>
    <w:rsid w:val="00BE3665"/>
    <w:rsid w:val="00BF31FC"/>
    <w:rsid w:val="00BF4F93"/>
    <w:rsid w:val="00BF6888"/>
    <w:rsid w:val="00C029DB"/>
    <w:rsid w:val="00C0634F"/>
    <w:rsid w:val="00C1469F"/>
    <w:rsid w:val="00C14949"/>
    <w:rsid w:val="00C1798E"/>
    <w:rsid w:val="00C25483"/>
    <w:rsid w:val="00C30664"/>
    <w:rsid w:val="00C307D0"/>
    <w:rsid w:val="00C30A08"/>
    <w:rsid w:val="00C372E9"/>
    <w:rsid w:val="00C41AD6"/>
    <w:rsid w:val="00C5073C"/>
    <w:rsid w:val="00C61B39"/>
    <w:rsid w:val="00C65C80"/>
    <w:rsid w:val="00C718D6"/>
    <w:rsid w:val="00C83189"/>
    <w:rsid w:val="00C85449"/>
    <w:rsid w:val="00C92711"/>
    <w:rsid w:val="00C96666"/>
    <w:rsid w:val="00CB175A"/>
    <w:rsid w:val="00CB625B"/>
    <w:rsid w:val="00CC1DAA"/>
    <w:rsid w:val="00CC5E58"/>
    <w:rsid w:val="00CD764D"/>
    <w:rsid w:val="00D07356"/>
    <w:rsid w:val="00D07BD2"/>
    <w:rsid w:val="00D11F1E"/>
    <w:rsid w:val="00D267DC"/>
    <w:rsid w:val="00D340AB"/>
    <w:rsid w:val="00D3597D"/>
    <w:rsid w:val="00D53C8B"/>
    <w:rsid w:val="00D75CE3"/>
    <w:rsid w:val="00D81CD7"/>
    <w:rsid w:val="00D962CD"/>
    <w:rsid w:val="00DA1C96"/>
    <w:rsid w:val="00DB7DEA"/>
    <w:rsid w:val="00DC62EC"/>
    <w:rsid w:val="00DD0A0B"/>
    <w:rsid w:val="00DF0320"/>
    <w:rsid w:val="00DF13AF"/>
    <w:rsid w:val="00E12721"/>
    <w:rsid w:val="00E15699"/>
    <w:rsid w:val="00E169A1"/>
    <w:rsid w:val="00E23C71"/>
    <w:rsid w:val="00E26493"/>
    <w:rsid w:val="00E735F2"/>
    <w:rsid w:val="00E74051"/>
    <w:rsid w:val="00E81DA0"/>
    <w:rsid w:val="00E822AB"/>
    <w:rsid w:val="00E936F4"/>
    <w:rsid w:val="00EA0E68"/>
    <w:rsid w:val="00EA39D2"/>
    <w:rsid w:val="00EB0C53"/>
    <w:rsid w:val="00EE1753"/>
    <w:rsid w:val="00EF24A3"/>
    <w:rsid w:val="00F047C6"/>
    <w:rsid w:val="00F12887"/>
    <w:rsid w:val="00F162CD"/>
    <w:rsid w:val="00F43533"/>
    <w:rsid w:val="00F733CB"/>
    <w:rsid w:val="00F82126"/>
    <w:rsid w:val="00F85D42"/>
    <w:rsid w:val="00F9513A"/>
    <w:rsid w:val="00FA7A66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A80486E1-31DC-4F36-87BF-6417671D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6</cp:revision>
  <cp:lastPrinted>2024-02-05T03:59:00Z</cp:lastPrinted>
  <dcterms:created xsi:type="dcterms:W3CDTF">2024-02-05T04:58:00Z</dcterms:created>
  <dcterms:modified xsi:type="dcterms:W3CDTF">2024-04-27T06:57:00Z</dcterms:modified>
</cp:coreProperties>
</file>