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4748A" w:rsidRDefault="0024748A" w:rsidP="0024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B5E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480B5E">
        <w:rPr>
          <w:rFonts w:ascii="Times New Roman" w:hAnsi="Times New Roman"/>
          <w:sz w:val="28"/>
          <w:szCs w:val="28"/>
        </w:rPr>
        <w:t xml:space="preserve">ПРОЕКТУ РЕШЕНИЯ </w:t>
      </w:r>
      <w:r w:rsidRPr="00480B5E">
        <w:rPr>
          <w:rFonts w:ascii="Times New Roman" w:eastAsia="Calibri" w:hAnsi="Times New Roman" w:cs="Courier New"/>
          <w:sz w:val="28"/>
          <w:szCs w:val="28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</w:t>
      </w:r>
      <w:r w:rsidRPr="00480B5E">
        <w:rPr>
          <w:rFonts w:ascii="Times New Roman" w:eastAsia="Calibri" w:hAnsi="Times New Roman"/>
          <w:sz w:val="28"/>
          <w:szCs w:val="28"/>
        </w:rPr>
        <w:t xml:space="preserve">, </w:t>
      </w:r>
      <w:r w:rsidRPr="00480B5E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Pr="00480B5E">
        <w:rPr>
          <w:rFonts w:ascii="Times New Roman" w:hAnsi="Times New Roman"/>
          <w:sz w:val="28"/>
          <w:szCs w:val="28"/>
        </w:rPr>
        <w:t>86:20:0000078:132</w:t>
      </w:r>
    </w:p>
    <w:p w:rsidR="004B0D78" w:rsidRPr="004B0D78" w:rsidRDefault="004B0D78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«09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0EA1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30EA1">
        <w:rPr>
          <w:rFonts w:ascii="Times New Roman" w:hAnsi="Times New Roman" w:cs="Times New Roman"/>
          <w:sz w:val="26"/>
          <w:szCs w:val="26"/>
          <w:u w:val="single"/>
        </w:rPr>
        <w:t>, на основании</w:t>
      </w:r>
      <w:r w:rsidR="00555951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057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24748A">
        <w:rPr>
          <w:rFonts w:ascii="Times New Roman" w:hAnsi="Times New Roman" w:cs="Times New Roman"/>
          <w:sz w:val="26"/>
          <w:szCs w:val="26"/>
          <w:u w:val="single"/>
        </w:rPr>
        <w:t>от 11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4748A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267D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 w:rsidR="0024748A">
        <w:rPr>
          <w:rFonts w:ascii="Times New Roman" w:hAnsi="Times New Roman" w:cs="Times New Roman"/>
          <w:sz w:val="26"/>
          <w:szCs w:val="26"/>
          <w:u w:val="single"/>
        </w:rPr>
        <w:t>№ 141</w:t>
      </w:r>
      <w:r w:rsidR="00CA057F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6C6C76" w:rsidRPr="00F30EA1">
        <w:rPr>
          <w:rFonts w:ascii="Times New Roman" w:hAnsi="Times New Roman" w:cs="Times New Roman" w:hint="eastAsia"/>
          <w:sz w:val="26"/>
          <w:szCs w:val="26"/>
          <w:u w:val="single"/>
        </w:rPr>
        <w:t>О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C6C76" w:rsidRPr="00F30EA1">
        <w:rPr>
          <w:rFonts w:ascii="Times New Roman" w:hAnsi="Times New Roman" w:cs="Times New Roman" w:hint="eastAsia"/>
          <w:sz w:val="26"/>
          <w:szCs w:val="26"/>
          <w:u w:val="single"/>
        </w:rPr>
        <w:t>назначении</w:t>
      </w:r>
      <w:r w:rsidR="006C6C76" w:rsidRPr="00F30EA1">
        <w:rPr>
          <w:rFonts w:ascii="Times New Roman" w:hAnsi="Times New Roman" w:cs="Times New Roman"/>
          <w:sz w:val="26"/>
          <w:szCs w:val="26"/>
          <w:u w:val="single"/>
        </w:rPr>
        <w:t xml:space="preserve"> общественных обсуждений </w:t>
      </w:r>
      <w:r w:rsidR="004B0D78" w:rsidRPr="00F30EA1">
        <w:rPr>
          <w:rFonts w:ascii="Times New Roman" w:hAnsi="Times New Roman"/>
          <w:sz w:val="26"/>
          <w:szCs w:val="26"/>
          <w:u w:val="single"/>
        </w:rPr>
        <w:t>по проекту</w:t>
      </w:r>
      <w:r w:rsidR="006C6C76" w:rsidRPr="00F30EA1">
        <w:rPr>
          <w:rFonts w:ascii="Times New Roman" w:hAnsi="Times New Roman"/>
          <w:sz w:val="26"/>
          <w:szCs w:val="26"/>
          <w:u w:val="single"/>
        </w:rPr>
        <w:t xml:space="preserve"> решения о предоставлении разрешения 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на отклонение от предельных параметров разрешенного строительства, </w:t>
      </w:r>
      <w:r w:rsidR="00226BF2" w:rsidRPr="00F30EA1">
        <w:rPr>
          <w:rFonts w:ascii="Times New Roman" w:eastAsia="Calibri" w:hAnsi="Times New Roman"/>
          <w:sz w:val="26"/>
          <w:szCs w:val="26"/>
          <w:u w:val="single"/>
        </w:rPr>
        <w:t>реконструкцию объектов</w:t>
      </w:r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 xml:space="preserve"> капитального </w:t>
      </w:r>
      <w:proofErr w:type="gramStart"/>
      <w:r w:rsidR="006C6C76" w:rsidRPr="00F30EA1">
        <w:rPr>
          <w:rFonts w:ascii="Times New Roman" w:eastAsia="Calibri" w:hAnsi="Times New Roman"/>
          <w:sz w:val="26"/>
          <w:szCs w:val="26"/>
          <w:u w:val="single"/>
        </w:rPr>
        <w:t>строительства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»_</w:t>
      </w:r>
      <w:proofErr w:type="gramEnd"/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указать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 ,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 xml:space="preserve">от </w:t>
      </w:r>
      <w:r w:rsidR="0024748A">
        <w:rPr>
          <w:rFonts w:ascii="Times New Roman" w:hAnsi="Times New Roman" w:cs="Times New Roman"/>
          <w:sz w:val="26"/>
          <w:szCs w:val="26"/>
        </w:rPr>
        <w:t>09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24748A">
        <w:rPr>
          <w:rFonts w:ascii="Times New Roman" w:hAnsi="Times New Roman" w:cs="Times New Roman"/>
          <w:sz w:val="26"/>
          <w:szCs w:val="26"/>
        </w:rPr>
        <w:t>января 2024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24748A" w:rsidRDefault="005C79AE" w:rsidP="00247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24748A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24748A" w:rsidRPr="0024748A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6A5C68" w:rsidRPr="0024748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4748A" w:rsidRPr="0024748A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24748A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267DF" w:rsidRPr="0024748A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4748A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4748A" w:rsidRPr="0024748A">
        <w:rPr>
          <w:rFonts w:ascii="Times New Roman" w:hAnsi="Times New Roman" w:cs="Times New Roman"/>
          <w:sz w:val="26"/>
          <w:szCs w:val="26"/>
          <w:u w:val="single"/>
        </w:rPr>
        <w:t>29.12</w:t>
      </w:r>
      <w:r w:rsidR="001B2517" w:rsidRPr="0024748A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24748A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4B0D78" w:rsidRPr="0024748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0D78" w:rsidRPr="0024748A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по </w:t>
      </w:r>
      <w:r w:rsidR="0024748A" w:rsidRPr="0024748A">
        <w:rPr>
          <w:rFonts w:ascii="Times New Roman" w:hAnsi="Times New Roman"/>
          <w:sz w:val="26"/>
          <w:szCs w:val="26"/>
          <w:u w:val="single"/>
        </w:rPr>
        <w:t xml:space="preserve">проекту решения </w:t>
      </w:r>
      <w:r w:rsidR="0024748A" w:rsidRPr="0024748A">
        <w:rPr>
          <w:rFonts w:ascii="Times New Roman" w:eastAsia="Calibri" w:hAnsi="Times New Roman" w:cs="Courier New"/>
          <w:sz w:val="26"/>
          <w:szCs w:val="26"/>
          <w:u w:val="single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24748A" w:rsidRPr="0024748A">
        <w:rPr>
          <w:rFonts w:ascii="Times New Roman" w:eastAsia="Calibri" w:hAnsi="Times New Roman"/>
          <w:sz w:val="26"/>
          <w:szCs w:val="26"/>
          <w:u w:val="single"/>
        </w:rPr>
        <w:t xml:space="preserve">, </w:t>
      </w:r>
      <w:r w:rsidR="0024748A" w:rsidRPr="0024748A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в границах земельного участка с кадастровым номером </w:t>
      </w:r>
      <w:r w:rsidR="0024748A" w:rsidRPr="0024748A">
        <w:rPr>
          <w:rFonts w:ascii="Times New Roman" w:hAnsi="Times New Roman"/>
          <w:sz w:val="26"/>
          <w:szCs w:val="26"/>
          <w:u w:val="single"/>
        </w:rPr>
        <w:t>86:20:0000078:132</w:t>
      </w:r>
      <w:r w:rsidR="0024748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(далее- </w:t>
      </w:r>
      <w:proofErr w:type="gramStart"/>
      <w:r w:rsidR="00F30EA1">
        <w:rPr>
          <w:rFonts w:ascii="Times New Roman" w:eastAsia="Calibri" w:hAnsi="Times New Roman"/>
          <w:sz w:val="26"/>
          <w:szCs w:val="26"/>
          <w:u w:val="single"/>
        </w:rPr>
        <w:t>Проект)</w:t>
      </w:r>
      <w:r w:rsidR="00F30EA1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F30EA1">
        <w:rPr>
          <w:rFonts w:ascii="Times New Roman" w:hAnsi="Times New Roman" w:cs="Times New Roman"/>
          <w:sz w:val="26"/>
          <w:szCs w:val="26"/>
          <w:u w:val="single"/>
        </w:rPr>
        <w:t>___________________________</w:t>
      </w:r>
      <w:r w:rsidR="0024748A">
        <w:rPr>
          <w:rFonts w:ascii="Times New Roman" w:hAnsi="Times New Roman" w:cs="Times New Roman"/>
          <w:sz w:val="26"/>
          <w:szCs w:val="26"/>
          <w:u w:val="single"/>
        </w:rPr>
        <w:t>________________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Pr="00334653">
        <w:rPr>
          <w:rFonts w:ascii="Times New Roman" w:hAnsi="Times New Roman" w:cs="Times New Roman"/>
          <w:sz w:val="22"/>
          <w:szCs w:val="22"/>
          <w:u w:val="single"/>
        </w:rPr>
        <w:t>наименование</w:t>
      </w:r>
      <w:proofErr w:type="gramEnd"/>
      <w:r w:rsidRPr="00334653">
        <w:rPr>
          <w:rFonts w:ascii="Times New Roman" w:hAnsi="Times New Roman" w:cs="Times New Roman"/>
          <w:sz w:val="22"/>
          <w:szCs w:val="22"/>
          <w:u w:val="single"/>
        </w:rPr>
        <w:t xml:space="preserve">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B493D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proofErr w:type="gramStart"/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</w:t>
      </w:r>
      <w:proofErr w:type="gramStart"/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</w:t>
      </w:r>
      <w:proofErr w:type="gramStart"/>
      <w:r w:rsidRPr="00EA2785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BE769F">
        <w:rPr>
          <w:rFonts w:ascii="Times New Roman" w:hAnsi="Times New Roman" w:cs="Times New Roman"/>
          <w:sz w:val="26"/>
          <w:szCs w:val="26"/>
        </w:rPr>
        <w:t>11</w:t>
      </w:r>
      <w:r w:rsidR="006C6C76">
        <w:rPr>
          <w:rFonts w:ascii="Times New Roman" w:hAnsi="Times New Roman" w:cs="Times New Roman"/>
          <w:sz w:val="26"/>
          <w:szCs w:val="26"/>
        </w:rPr>
        <w:t>.</w:t>
      </w:r>
      <w:r w:rsidR="00BE769F">
        <w:rPr>
          <w:rFonts w:ascii="Times New Roman" w:hAnsi="Times New Roman" w:cs="Times New Roman"/>
          <w:sz w:val="26"/>
          <w:szCs w:val="26"/>
        </w:rPr>
        <w:t>12</w:t>
      </w:r>
      <w:r w:rsidR="001A3652">
        <w:rPr>
          <w:rFonts w:ascii="Times New Roman" w:hAnsi="Times New Roman" w:cs="Times New Roman"/>
          <w:sz w:val="26"/>
          <w:szCs w:val="26"/>
        </w:rPr>
        <w:t>.</w:t>
      </w:r>
      <w:r w:rsidR="006C6C76">
        <w:rPr>
          <w:rFonts w:ascii="Times New Roman" w:hAnsi="Times New Roman" w:cs="Times New Roman"/>
          <w:sz w:val="26"/>
          <w:szCs w:val="26"/>
        </w:rPr>
        <w:t>202</w:t>
      </w:r>
      <w:r w:rsidR="001A3652">
        <w:rPr>
          <w:rFonts w:ascii="Times New Roman" w:hAnsi="Times New Roman" w:cs="Times New Roman"/>
          <w:sz w:val="26"/>
          <w:szCs w:val="26"/>
        </w:rPr>
        <w:t>3</w:t>
      </w:r>
      <w:r w:rsidR="006C6C76">
        <w:rPr>
          <w:rFonts w:ascii="Times New Roman" w:hAnsi="Times New Roman" w:cs="Times New Roman"/>
          <w:sz w:val="26"/>
          <w:szCs w:val="26"/>
        </w:rPr>
        <w:t xml:space="preserve"> № </w:t>
      </w:r>
      <w:r w:rsidR="00BE769F">
        <w:rPr>
          <w:rFonts w:ascii="Times New Roman" w:hAnsi="Times New Roman" w:cs="Times New Roman"/>
          <w:sz w:val="26"/>
          <w:szCs w:val="26"/>
        </w:rPr>
        <w:t>141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E769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разрешенного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 xml:space="preserve">трации города Нефтеюганска </w:t>
      </w:r>
      <w:r w:rsidR="00C87AF8">
        <w:rPr>
          <w:rFonts w:ascii="Times New Roman" w:hAnsi="Times New Roman" w:cs="Times New Roman"/>
          <w:sz w:val="26"/>
          <w:szCs w:val="26"/>
        </w:rPr>
        <w:lastRenderedPageBreak/>
        <w:t>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C3654D">
        <w:rPr>
          <w:rFonts w:ascii="Times New Roman" w:hAnsi="Times New Roman" w:cs="Times New Roman"/>
          <w:sz w:val="26"/>
          <w:szCs w:val="26"/>
        </w:rPr>
        <w:t xml:space="preserve"> (далее- Административный регламент)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366E27" w:rsidRPr="00450E1A" w:rsidRDefault="00B25F0C" w:rsidP="00450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E27">
        <w:rPr>
          <w:rFonts w:ascii="Times New Roman" w:hAnsi="Times New Roman" w:cs="Times New Roman"/>
          <w:sz w:val="26"/>
          <w:szCs w:val="26"/>
        </w:rPr>
        <w:t>2.</w:t>
      </w:r>
      <w:r w:rsidR="00C3654D" w:rsidRPr="00366E27">
        <w:rPr>
          <w:rFonts w:ascii="Times New Roman" w:hAnsi="Times New Roman" w:cs="Times New Roman"/>
          <w:sz w:val="26"/>
          <w:szCs w:val="26"/>
        </w:rPr>
        <w:t>Рекомендовать</w:t>
      </w:r>
      <w:r w:rsidR="00450E1A">
        <w:rPr>
          <w:rFonts w:ascii="Times New Roman" w:hAnsi="Times New Roman" w:cs="Times New Roman"/>
          <w:sz w:val="26"/>
          <w:szCs w:val="26"/>
        </w:rPr>
        <w:t xml:space="preserve"> </w:t>
      </w:r>
      <w:r w:rsidR="00450E1A">
        <w:rPr>
          <w:rFonts w:ascii="Times New Roman" w:hAnsi="Times New Roman"/>
          <w:sz w:val="26"/>
          <w:szCs w:val="26"/>
        </w:rPr>
        <w:t>г</w:t>
      </w:r>
      <w:r w:rsidR="00366E27" w:rsidRPr="00366E27">
        <w:rPr>
          <w:rFonts w:ascii="Times New Roman" w:hAnsi="Times New Roman"/>
          <w:sz w:val="26"/>
          <w:szCs w:val="26"/>
        </w:rPr>
        <w:t xml:space="preserve">лаве города Нефтеюганска </w:t>
      </w:r>
      <w:r w:rsidR="00275574">
        <w:rPr>
          <w:rFonts w:ascii="Times New Roman" w:hAnsi="Times New Roman"/>
          <w:sz w:val="26"/>
          <w:szCs w:val="26"/>
        </w:rPr>
        <w:t>принять решение об отказе</w:t>
      </w:r>
      <w:r w:rsidR="00366E27" w:rsidRPr="00366E27">
        <w:rPr>
          <w:rFonts w:ascii="Times New Roman" w:hAnsi="Times New Roman"/>
          <w:sz w:val="26"/>
          <w:szCs w:val="26"/>
        </w:rPr>
        <w:t xml:space="preserve"> Булыгину Сергею Витальевичу в предоставлении </w:t>
      </w:r>
      <w:r w:rsidR="00366E27" w:rsidRPr="00366E27">
        <w:rPr>
          <w:rFonts w:ascii="Times New Roman" w:eastAsia="Calibri" w:hAnsi="Times New Roman"/>
          <w:color w:val="000000"/>
          <w:spacing w:val="-3"/>
          <w:sz w:val="26"/>
          <w:szCs w:val="26"/>
        </w:rPr>
        <w:t xml:space="preserve">разрешения </w:t>
      </w:r>
      <w:r w:rsidR="00366E27" w:rsidRPr="00366E27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</w:t>
      </w:r>
      <w:r w:rsidR="00366E27" w:rsidRPr="00366E27">
        <w:rPr>
          <w:rFonts w:ascii="Times New Roman" w:hAnsi="Times New Roman"/>
          <w:sz w:val="26"/>
          <w:szCs w:val="26"/>
        </w:rPr>
        <w:t>86:20:0000078:132, расположенного по адресу: город Нефтеюганск, проезд Береговой, в части уменьшения минимального отступа от границ земельного участка и красной линии до стен зданий, строений, сооружений – с 3 метров до 0 метров по основанию, предусмотренному пунктом 2.9. Административного регламента:</w:t>
      </w:r>
    </w:p>
    <w:p w:rsidR="00366E27" w:rsidRPr="00366E27" w:rsidRDefault="00366E27" w:rsidP="00366E2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366E27">
        <w:rPr>
          <w:rFonts w:ascii="Times New Roman" w:hAnsi="Times New Roman"/>
          <w:b w:val="0"/>
          <w:sz w:val="26"/>
          <w:szCs w:val="26"/>
        </w:rPr>
        <w:t>-несоответствие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города Нефтеюганска.</w:t>
      </w:r>
    </w:p>
    <w:p w:rsidR="00331109" w:rsidRPr="001B2517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312B9C">
        <w:rPr>
          <w:rFonts w:ascii="Times New Roman" w:hAnsi="Times New Roman" w:cs="Times New Roman"/>
          <w:sz w:val="26"/>
          <w:szCs w:val="26"/>
        </w:rPr>
        <w:t xml:space="preserve"> по проектам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proofErr w:type="gramEnd"/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8051E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</w:t>
      </w:r>
      <w:proofErr w:type="gramEnd"/>
      <w:r w:rsidR="008267DF">
        <w:rPr>
          <w:rFonts w:ascii="Times New Roman" w:eastAsia="Times New Roman" w:hAnsi="Times New Roman" w:cs="Times New Roman"/>
          <w:sz w:val="26"/>
          <w:szCs w:val="26"/>
        </w:rPr>
        <w:t xml:space="preserve">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градостроительства</w:t>
      </w:r>
      <w:proofErr w:type="gramEnd"/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8051ED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275574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275574" w:rsidRDefault="0027557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5574" w:rsidRDefault="0027557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75574" w:rsidRDefault="0027557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8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&lt;*</w:t>
      </w:r>
      <w:proofErr w:type="gramStart"/>
      <w:r w:rsidRPr="00483859">
        <w:rPr>
          <w:rFonts w:ascii="Times New Roman" w:eastAsia="Times New Roman" w:hAnsi="Times New Roman" w:cs="Times New Roman"/>
          <w:sz w:val="16"/>
          <w:szCs w:val="16"/>
        </w:rPr>
        <w:t>&gt;  Заключение</w:t>
      </w:r>
      <w:proofErr w:type="gramEnd"/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09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B42A63">
        <w:rPr>
          <w:rFonts w:ascii="Times New Roman" w:hAnsi="Times New Roman" w:cs="Times New Roman"/>
          <w:spacing w:val="2"/>
          <w:sz w:val="26"/>
          <w:szCs w:val="26"/>
        </w:rPr>
        <w:t>поступившие</w:t>
      </w:r>
      <w:proofErr w:type="gramEnd"/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</w:t>
            </w:r>
            <w:proofErr w:type="gramEnd"/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ED" w:rsidRPr="008051ED" w:rsidRDefault="008051ED" w:rsidP="008051E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Булыгину Сергею Витальевичу </w:t>
            </w:r>
            <w:r w:rsidRPr="008051E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80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>86:20:0000078:132, расположенного по адресу: город Нефтеюганск, проезд Береговой, в части уменьшения минимального отступа от границ земельного участка и красной линии до стен зданий, строений, сооружений – с 3 метров до 0 метров.</w:t>
            </w:r>
          </w:p>
          <w:p w:rsidR="00312B9C" w:rsidRPr="008051ED" w:rsidRDefault="00312B9C" w:rsidP="008051ED">
            <w:pPr>
              <w:pStyle w:val="a3"/>
              <w:jc w:val="both"/>
              <w:rPr>
                <w:rFonts w:eastAsia="Calibri" w:cs="Courier Ne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87" w:rsidRPr="0022422D" w:rsidRDefault="00B25A87" w:rsidP="00B25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</w:t>
            </w:r>
            <w:r w:rsidR="00304910" w:rsidRPr="0022422D">
              <w:rPr>
                <w:rFonts w:ascii="Times New Roman" w:hAnsi="Times New Roman" w:cs="Times New Roman"/>
                <w:sz w:val="24"/>
                <w:szCs w:val="24"/>
              </w:rPr>
              <w:t>Булыгиным С.В.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9C2"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3A59C2"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к нему 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422D">
              <w:rPr>
                <w:rFonts w:ascii="Times New Roman" w:hAnsi="Times New Roman" w:cs="Times New Roman"/>
                <w:sz w:val="24"/>
                <w:szCs w:val="24"/>
              </w:rPr>
              <w:t>вх.ДГиЗО</w:t>
            </w:r>
            <w:proofErr w:type="spellEnd"/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от 28.11.2023 № 01-01-45-10666-3) рассмотрены</w:t>
            </w:r>
            <w:r w:rsidR="00C116F7" w:rsidRPr="0022422D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градостроительной документации, в результате чего выявлено следующее:</w:t>
            </w:r>
          </w:p>
          <w:p w:rsidR="00926B65" w:rsidRPr="0022422D" w:rsidRDefault="00926B65" w:rsidP="00926B65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Пояснительная записка к заявлению на отклонение от предельных параметров разрешенного строительства выполнена на основании Правил землепользования и застройки города Нефтеюганска, утвержденных постановлением администрации города Нефтеюганска от 22.12.2022 № 2673-п (далее- Правила от 22.12.2022 № 2673-п), и содержит следующие сведения:</w:t>
            </w:r>
          </w:p>
          <w:p w:rsidR="00926B65" w:rsidRPr="0022422D" w:rsidRDefault="00926B65" w:rsidP="00926B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-земельный участок с кадастровым номером 86:20:0000078:132 расположен в зоне объектов инфраструктуры автомобильного транспорта;</w:t>
            </w:r>
          </w:p>
          <w:p w:rsidR="00926B65" w:rsidRPr="0022422D" w:rsidRDefault="00926B65" w:rsidP="00926B65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F693E" w:rsidRPr="00CF6FA1" w:rsidRDefault="00926B65" w:rsidP="00CF6FA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>огласно</w:t>
            </w:r>
            <w:proofErr w:type="gramEnd"/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выписке из ЕГРН вид разрешенного использования земельного участка с кадастровым номером 86:20:0000078:132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«А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>втомобильный транспорт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(код 7.2),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«Х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>ранение автотранспорта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» (код 2.7.1), «С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>лужебные гаражи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» (код 4.9), «О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>бъекты дорожного сервиса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(код 4.9.1). </w:t>
            </w: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FE1768" w:rsidRPr="0022422D">
              <w:rPr>
                <w:rFonts w:ascii="Times New Roman" w:hAnsi="Times New Roman"/>
                <w:b w:val="0"/>
                <w:sz w:val="24"/>
                <w:szCs w:val="24"/>
              </w:rPr>
              <w:t>тклонение от предельных параметров разрешенного строительства (в части уменьшения минимального отступа от границ земельного участка и красной линии до стен зданий, строений, сооружений – с 3 метров до 0 метров) требуется для размещения объекта «Здание гаража».</w:t>
            </w:r>
          </w:p>
          <w:p w:rsidR="009F693E" w:rsidRDefault="009F693E" w:rsidP="00CF6FA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9F693E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9F693E">
              <w:rPr>
                <w:rFonts w:ascii="Times New Roman" w:hAnsi="Times New Roman"/>
                <w:b w:val="0"/>
                <w:sz w:val="24"/>
                <w:szCs w:val="24"/>
              </w:rPr>
              <w:t xml:space="preserve"> качестве обоснования необходимости получения разрешения на отклонение </w:t>
            </w:r>
            <w:r w:rsidRPr="009F693E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от предельных параметров разрешенного строительства, реконструкцию объекта капитального</w:t>
            </w:r>
            <w:r w:rsidR="00450E1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строительства</w:t>
            </w:r>
            <w:r w:rsidRPr="009F693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указано, что рассматриваемый</w:t>
            </w:r>
            <w:r w:rsidRPr="009F693E">
              <w:rPr>
                <w:rFonts w:ascii="Times New Roman" w:hAnsi="Times New Roman"/>
                <w:b w:val="0"/>
                <w:sz w:val="24"/>
                <w:szCs w:val="24"/>
              </w:rPr>
              <w:t xml:space="preserve"> земельный участок имеет размер (площадь) меньше установленного регламентом для земельных участков, предназначенных для размещения служебных гаражей.</w:t>
            </w:r>
          </w:p>
          <w:p w:rsidR="00C00EC1" w:rsidRDefault="00C00EC1" w:rsidP="008A6E99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0EC1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При этом,</w:t>
            </w:r>
            <w:r>
              <w:rPr>
                <w:rFonts w:asciiTheme="minorHAnsi" w:hAnsiTheme="minorHAnsi"/>
                <w:b w:val="0"/>
                <w:bCs/>
                <w:sz w:val="28"/>
                <w:szCs w:val="28"/>
              </w:rPr>
              <w:t xml:space="preserve"> </w:t>
            </w:r>
            <w:r w:rsidR="008A6E99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в настоящее время </w:t>
            </w:r>
            <w:r w:rsidR="00304910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постановлением </w:t>
            </w:r>
            <w:r w:rsidR="009E1EEB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администрации города Нефтеюганска </w:t>
            </w:r>
            <w:r w:rsidR="00304910" w:rsidRPr="0022422D">
              <w:rPr>
                <w:rFonts w:ascii="Times New Roman" w:hAnsi="Times New Roman"/>
                <w:b w:val="0"/>
                <w:sz w:val="24"/>
                <w:szCs w:val="24"/>
              </w:rPr>
              <w:t>от 29.11.2023 № 1603-п утверждены изменения в Правила от 22.12.2022 № 2673-п, согласно которым в границах земельного участка</w:t>
            </w:r>
            <w:r w:rsidR="00B25A87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с кадастровым номером 86:20:0000078:132</w:t>
            </w:r>
            <w:r w:rsidR="00304910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изменена территориальная зона: с зоны объектов инфраструктуры автомобильного транспорта на коммунально- складскую зону. </w:t>
            </w:r>
          </w:p>
          <w:p w:rsidR="00304910" w:rsidRPr="0022422D" w:rsidRDefault="00304910" w:rsidP="008A6E99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Данные изменения внесены на основании заявления Булыгина С.В. о внесении изменений в Правила землепользования и застройки города Нефтеюганска </w:t>
            </w:r>
            <w:proofErr w:type="spellStart"/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вх.ДГиЗО</w:t>
            </w:r>
            <w:proofErr w:type="spellEnd"/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от 19.04.2023 № 01-01-45-3610-3.</w:t>
            </w:r>
          </w:p>
          <w:p w:rsidR="009E1EEB" w:rsidRPr="00450E1A" w:rsidRDefault="009E1EEB" w:rsidP="00C0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>Согласно Правила</w:t>
            </w:r>
            <w:r w:rsidR="00C72BAD" w:rsidRPr="002242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города Нефтеюганска, утвержденным постановлением администрации</w:t>
            </w:r>
            <w:r w:rsidR="00C72BAD"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="00C72BAD"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 </w:t>
            </w:r>
            <w:r w:rsidR="00C72BAD"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72BAD"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    22.12.2022 № 2673-п (с изм. </w:t>
            </w:r>
            <w:r w:rsidRPr="0022422D">
              <w:rPr>
                <w:rFonts w:ascii="Times New Roman" w:hAnsi="Times New Roman" w:cs="Times New Roman"/>
                <w:sz w:val="24"/>
                <w:szCs w:val="24"/>
              </w:rPr>
              <w:t>29.11.2023 № 1603-п</w:t>
            </w:r>
            <w:r w:rsidR="00C72BAD" w:rsidRPr="00224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6E99" w:rsidRPr="0022422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</w:t>
            </w:r>
            <w:r w:rsidR="00C0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E1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</w:t>
            </w:r>
            <w:bookmarkStart w:id="0" w:name="_GoBack"/>
            <w:bookmarkEnd w:id="0"/>
            <w:r w:rsidRPr="00450E1A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="00C72BAD" w:rsidRPr="00450E1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450E1A">
              <w:rPr>
                <w:rFonts w:ascii="Times New Roman" w:hAnsi="Times New Roman" w:cs="Times New Roman"/>
                <w:sz w:val="24"/>
                <w:szCs w:val="24"/>
              </w:rPr>
              <w:t>лужебные гаражи</w:t>
            </w:r>
            <w:r w:rsidR="00C72BAD" w:rsidRPr="00450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E1A">
              <w:rPr>
                <w:rFonts w:ascii="Times New Roman" w:hAnsi="Times New Roman" w:cs="Times New Roman"/>
                <w:sz w:val="24"/>
                <w:szCs w:val="24"/>
              </w:rPr>
              <w:t xml:space="preserve"> (код 4.9) </w:t>
            </w:r>
            <w:r w:rsidR="00C00EC1" w:rsidRPr="00450E1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в перечне </w:t>
            </w:r>
            <w:r w:rsidRPr="00450E1A">
              <w:rPr>
                <w:rFonts w:ascii="Times New Roman" w:hAnsi="Times New Roman" w:cs="Times New Roman"/>
                <w:sz w:val="24"/>
                <w:szCs w:val="24"/>
              </w:rPr>
              <w:t>основных видов разрешенного использования земельных участков или объектов капитального строительства в коммунально-складской зоне</w:t>
            </w:r>
            <w:r w:rsidR="008A6E99" w:rsidRPr="0045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EC1" w:rsidRDefault="00C00EC1" w:rsidP="00C00EC1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0EC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Однако из перечисленных видов разрешенного использования (согласно выписке из ЕГРН) рассматриваемого земельного участка размещение гаражей предусмотрено так же в описании вида «Хранение автотранспорта» код 2.7.1 (согласно Классификатору видов разрешенного использования земельных участков, утвержденному Приказом </w:t>
            </w:r>
            <w:proofErr w:type="spellStart"/>
            <w:r w:rsidRPr="00C00EC1">
              <w:rPr>
                <w:rFonts w:ascii="Times New Roman" w:hAnsi="Times New Roman"/>
                <w:b w:val="0"/>
                <w:sz w:val="24"/>
                <w:szCs w:val="24"/>
              </w:rPr>
              <w:t>Росреестра</w:t>
            </w:r>
            <w:proofErr w:type="spellEnd"/>
            <w:r w:rsidRPr="00C00EC1">
              <w:rPr>
                <w:rFonts w:ascii="Times New Roman" w:hAnsi="Times New Roman"/>
                <w:b w:val="0"/>
                <w:sz w:val="24"/>
                <w:szCs w:val="24"/>
              </w:rPr>
              <w:t xml:space="preserve"> от 10.11.2020 N П/0412 (ред. от 23.06.2022).</w:t>
            </w:r>
          </w:p>
          <w:p w:rsidR="008A6E99" w:rsidRPr="00275574" w:rsidRDefault="00C00EC1" w:rsidP="00740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574">
              <w:rPr>
                <w:rFonts w:ascii="Times New Roman" w:hAnsi="Times New Roman" w:cs="Times New Roman"/>
                <w:sz w:val="24"/>
                <w:szCs w:val="24"/>
              </w:rPr>
              <w:t>Согласно Правилам вид разрешенного использования</w:t>
            </w:r>
            <w:r w:rsidR="007402F4" w:rsidRPr="00275574">
              <w:rPr>
                <w:rFonts w:ascii="Times New Roman" w:hAnsi="Times New Roman" w:cs="Times New Roman"/>
                <w:sz w:val="24"/>
                <w:szCs w:val="24"/>
              </w:rPr>
              <w:t xml:space="preserve"> (далее- ВРИ) </w:t>
            </w:r>
            <w:r w:rsidRPr="0027557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«Хранение автотранспорта» (код 2.7.1) включен в перечень основных видов разрешенного использования земельных участков в коммунально-складской зоне. </w:t>
            </w:r>
            <w:r w:rsidR="007402F4" w:rsidRPr="002755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6E99" w:rsidRPr="0027557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7402F4" w:rsidRPr="00275574">
              <w:rPr>
                <w:rFonts w:ascii="Times New Roman" w:hAnsi="Times New Roman" w:cs="Times New Roman"/>
                <w:sz w:val="24"/>
                <w:szCs w:val="24"/>
              </w:rPr>
              <w:t>данного ВРИ</w:t>
            </w:r>
            <w:r w:rsidR="008A6E99" w:rsidRPr="002755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предельные параметры разрешенного строительства, отличающиеся от параметров </w:t>
            </w:r>
            <w:r w:rsidR="007402F4" w:rsidRPr="00275574">
              <w:rPr>
                <w:rFonts w:ascii="Times New Roman" w:hAnsi="Times New Roman" w:cs="Times New Roman"/>
                <w:sz w:val="24"/>
                <w:szCs w:val="24"/>
              </w:rPr>
              <w:t>аналогичного ВРИ</w:t>
            </w:r>
            <w:r w:rsidR="008A6E99" w:rsidRPr="00275574">
              <w:rPr>
                <w:rFonts w:ascii="Times New Roman" w:hAnsi="Times New Roman" w:cs="Times New Roman"/>
                <w:sz w:val="24"/>
                <w:szCs w:val="24"/>
              </w:rPr>
              <w:t xml:space="preserve"> в зоне инфраструктуры автомобильного транспорта.</w:t>
            </w:r>
          </w:p>
          <w:p w:rsidR="008A6E99" w:rsidRPr="0022422D" w:rsidRDefault="008A6E99" w:rsidP="003A59C2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75574">
              <w:rPr>
                <w:rFonts w:ascii="Times New Roman" w:hAnsi="Times New Roman"/>
                <w:b w:val="0"/>
                <w:sz w:val="24"/>
                <w:szCs w:val="24"/>
              </w:rPr>
              <w:t>Таким образом, представленная пояснительная записка</w:t>
            </w:r>
            <w:r w:rsidR="003A59C2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, которая является обоснованием необходимости получения разрешения на отклонение от предельных параметров разрешенного строительства не может быть принята во внимание при рассмотрении заявления </w:t>
            </w:r>
            <w:r w:rsidR="003A59C2" w:rsidRPr="0022422D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о предоставлении </w:t>
            </w:r>
            <w:r w:rsidR="003A59C2" w:rsidRPr="0022422D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разрешения </w:t>
            </w:r>
            <w:r w:rsidR="003A59C2" w:rsidRPr="0022422D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</w:t>
            </w:r>
            <w:r w:rsidR="003A59C2" w:rsidRPr="0022422D">
              <w:rPr>
                <w:rFonts w:ascii="Times New Roman" w:hAnsi="Times New Roman"/>
                <w:b w:val="0"/>
                <w:sz w:val="24"/>
                <w:szCs w:val="24"/>
              </w:rPr>
              <w:t>86:20:0000078:132, расположенного по адресу: город Нефтеюганск, проезд Береговой, в части уменьшения минимального отступа от границ земельного участка и красной линии до стен зданий, строений, соор</w:t>
            </w:r>
            <w:r w:rsidR="00450E1A">
              <w:rPr>
                <w:rFonts w:ascii="Times New Roman" w:hAnsi="Times New Roman"/>
                <w:b w:val="0"/>
                <w:sz w:val="24"/>
                <w:szCs w:val="24"/>
              </w:rPr>
              <w:t>ужений – с 3 метров до 0 метров, так как сведения содержащиеся в ней не соответствуют действующим Правилам.</w:t>
            </w:r>
          </w:p>
          <w:p w:rsidR="00542E77" w:rsidRPr="0022422D" w:rsidRDefault="003A59C2" w:rsidP="00542E7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>На основании</w:t>
            </w:r>
            <w:r w:rsidR="00F87A1A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 вышеизложенное</w:t>
            </w:r>
            <w:r w:rsidR="00450E1A">
              <w:rPr>
                <w:rFonts w:ascii="Times New Roman" w:hAnsi="Times New Roman"/>
                <w:b w:val="0"/>
                <w:sz w:val="24"/>
                <w:szCs w:val="24"/>
              </w:rPr>
              <w:t xml:space="preserve"> рекомендовано г</w:t>
            </w:r>
            <w:r w:rsidR="00542E77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лаве города Нефтеюганска отказать Булыгину Сергею Витальевичу в предоставлении </w:t>
            </w:r>
            <w:r w:rsidR="00542E77" w:rsidRPr="0022422D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разрешения </w:t>
            </w:r>
            <w:r w:rsidR="00542E77" w:rsidRPr="0022422D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</w:t>
            </w:r>
            <w:r w:rsidR="00542E77"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86:20:0000078:132, расположенного по адресу: город Нефтеюганск, проезд Береговой, в части уменьшения минимального отступа от </w:t>
            </w:r>
            <w:r w:rsidR="00542E77" w:rsidRPr="0022422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границ земельного участка и красной линии до стен зданий, строений, сооружений – с 3 метров до 0 метров по </w:t>
            </w:r>
            <w:r w:rsidR="00366E27" w:rsidRPr="0022422D">
              <w:rPr>
                <w:rFonts w:ascii="Times New Roman" w:hAnsi="Times New Roman"/>
                <w:b w:val="0"/>
                <w:sz w:val="24"/>
                <w:szCs w:val="24"/>
              </w:rPr>
              <w:t>основанию, предусмотренному пунктом 2.9. Административного регламента</w:t>
            </w:r>
            <w:r w:rsidR="00542E77" w:rsidRPr="0022422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312B9C" w:rsidRPr="0022422D" w:rsidRDefault="00542E77" w:rsidP="00366E2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2D">
              <w:rPr>
                <w:rFonts w:ascii="Times New Roman" w:hAnsi="Times New Roman"/>
                <w:b w:val="0"/>
                <w:sz w:val="24"/>
                <w:szCs w:val="24"/>
              </w:rPr>
              <w:t xml:space="preserve">-несоответствие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</w:t>
            </w:r>
            <w:r w:rsidR="00450E1A">
              <w:rPr>
                <w:rFonts w:ascii="Times New Roman" w:hAnsi="Times New Roman"/>
                <w:b w:val="0"/>
                <w:sz w:val="24"/>
                <w:szCs w:val="24"/>
              </w:rPr>
              <w:t>и застройки города Нефтеюганска</w:t>
            </w:r>
            <w:r w:rsidR="00366E27" w:rsidRPr="0022422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574">
          <w:rPr>
            <w:noProof/>
          </w:rPr>
          <w:t>6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E82"/>
    <w:multiLevelType w:val="hybridMultilevel"/>
    <w:tmpl w:val="B120CEEC"/>
    <w:lvl w:ilvl="0" w:tplc="2C5E6EC6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46335C8"/>
    <w:multiLevelType w:val="hybridMultilevel"/>
    <w:tmpl w:val="932A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5095B"/>
    <w:multiLevelType w:val="hybridMultilevel"/>
    <w:tmpl w:val="0FC0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B5868"/>
    <w:multiLevelType w:val="hybridMultilevel"/>
    <w:tmpl w:val="B68E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03E2C"/>
    <w:rsid w:val="00012CDC"/>
    <w:rsid w:val="000134C2"/>
    <w:rsid w:val="00017865"/>
    <w:rsid w:val="00020CF3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422D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75574"/>
    <w:rsid w:val="00285EA2"/>
    <w:rsid w:val="002875D1"/>
    <w:rsid w:val="002A32F0"/>
    <w:rsid w:val="002B1316"/>
    <w:rsid w:val="002B5F08"/>
    <w:rsid w:val="002B6B45"/>
    <w:rsid w:val="002D3F34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36FF2"/>
    <w:rsid w:val="00366E27"/>
    <w:rsid w:val="00371E9D"/>
    <w:rsid w:val="003829B3"/>
    <w:rsid w:val="00384DF1"/>
    <w:rsid w:val="003874D3"/>
    <w:rsid w:val="00397DEF"/>
    <w:rsid w:val="003A59C2"/>
    <w:rsid w:val="003B0F68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0E1A"/>
    <w:rsid w:val="00456B41"/>
    <w:rsid w:val="00457C17"/>
    <w:rsid w:val="00462596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702"/>
    <w:rsid w:val="005B7DA1"/>
    <w:rsid w:val="005C79AE"/>
    <w:rsid w:val="005D03C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402F4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A6E9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26B6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9F693E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0EC1"/>
    <w:rsid w:val="00C116F7"/>
    <w:rsid w:val="00C12BCF"/>
    <w:rsid w:val="00C20B8E"/>
    <w:rsid w:val="00C300E8"/>
    <w:rsid w:val="00C331AF"/>
    <w:rsid w:val="00C3654D"/>
    <w:rsid w:val="00C7030C"/>
    <w:rsid w:val="00C72BAD"/>
    <w:rsid w:val="00C827ED"/>
    <w:rsid w:val="00C85D96"/>
    <w:rsid w:val="00C87AF8"/>
    <w:rsid w:val="00CA057F"/>
    <w:rsid w:val="00CB0254"/>
    <w:rsid w:val="00CF48B9"/>
    <w:rsid w:val="00CF5C55"/>
    <w:rsid w:val="00CF6FA1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80782"/>
    <w:rsid w:val="00E949EA"/>
    <w:rsid w:val="00EA2785"/>
    <w:rsid w:val="00EA3C55"/>
    <w:rsid w:val="00EA4CFD"/>
    <w:rsid w:val="00EF5E7C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110A"/>
    <w:rsid w:val="00FC5D7D"/>
    <w:rsid w:val="00FD437D"/>
    <w:rsid w:val="00FE176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8BAE-DB5B-477F-BAC7-F8FD109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336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7F5C-8355-4490-988E-CF03D662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5</cp:revision>
  <cp:lastPrinted>2024-01-09T04:01:00Z</cp:lastPrinted>
  <dcterms:created xsi:type="dcterms:W3CDTF">2023-12-25T12:46:00Z</dcterms:created>
  <dcterms:modified xsi:type="dcterms:W3CDTF">2024-01-09T04:02:00Z</dcterms:modified>
</cp:coreProperties>
</file>