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A3282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3282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="001A3282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A3282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7B5AF9" w:rsidRDefault="001A3282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</w:t>
            </w:r>
            <w:r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2C4FE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разработан в соответствии со статьёй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от 25 октября 2023             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A3282" w:rsidRDefault="001A3282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Шакшина Татьяна Викторовна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C157E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lastRenderedPageBreak/>
              <w:t>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D17618" w:rsidP="00D17618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Правительства Российской Федерации от 25 октября 2023 № 1782 «Об </w:t>
            </w:r>
            <w:r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7B5AF9" w:rsidRDefault="001A3282" w:rsidP="005453F7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F3749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возмещение затрат </w:t>
            </w:r>
            <w:r>
              <w:rPr>
                <w:rFonts w:ascii="Times New Roman" w:hAnsi="Times New Roman"/>
                <w:sz w:val="28"/>
                <w:szCs w:val="28"/>
              </w:rPr>
              <w:t>юридическим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>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>, физически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sz w:val="28"/>
                <w:szCs w:val="28"/>
              </w:rPr>
              <w:t>м,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оказывающи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услуги по откачке и вывозу бытовых сточных вод от многоквартирных жилых </w:t>
            </w:r>
            <w:r w:rsidRPr="00EF3749">
              <w:rPr>
                <w:rFonts w:ascii="Times New Roman" w:hAnsi="Times New Roman"/>
                <w:sz w:val="28"/>
                <w:szCs w:val="28"/>
              </w:rPr>
              <w:lastRenderedPageBreak/>
              <w:t>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Pr="003E63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>в целях улучшения качества жизни населения путем обеспечения бесперебойного водоотведения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>Неисполнение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  <w:r w:rsidR="005453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3282">
              <w:rPr>
                <w:rFonts w:ascii="Times New Roman" w:hAnsi="Times New Roman"/>
                <w:sz w:val="28"/>
                <w:szCs w:val="28"/>
              </w:rPr>
              <w:t xml:space="preserve">Снижение качества жизни населения </w:t>
            </w:r>
            <w:r w:rsidR="001A3282" w:rsidRPr="00EC6A7F">
              <w:rPr>
                <w:rFonts w:ascii="Times New Roman" w:hAnsi="Times New Roman"/>
                <w:sz w:val="28"/>
                <w:szCs w:val="28"/>
              </w:rPr>
              <w:t xml:space="preserve"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</w:t>
            </w:r>
            <w:r w:rsidR="001A3282">
              <w:rPr>
                <w:rFonts w:ascii="Times New Roman" w:hAnsi="Times New Roman"/>
                <w:sz w:val="28"/>
                <w:szCs w:val="28"/>
              </w:rPr>
              <w:t>в связи с отсутствием водоотведения.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7B5AF9" w:rsidRDefault="001A3282" w:rsidP="002C30B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решения проблемы, связанной с откачкой </w:t>
            </w:r>
            <w:r w:rsidRPr="00BB63DA">
              <w:rPr>
                <w:rFonts w:ascii="Times New Roman" w:hAnsi="Times New Roman"/>
                <w:sz w:val="28"/>
                <w:szCs w:val="28"/>
                <w:lang w:eastAsia="ru-RU"/>
              </w:rPr>
              <w:t>и вывоз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</w:t>
            </w:r>
            <w:r w:rsidRPr="00BB63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бытовых сточных вод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многоквартирных жилых домов.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1A3282" w:rsidP="001C749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проекта о внесении изменения в НПА является необходимым условием внедрения правового регулирования.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1A3282" w:rsidP="002B0E3A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0F0FBB">
              <w:rPr>
                <w:rFonts w:ascii="Times New Roman" w:eastAsia="Calibri" w:hAnsi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0F0FBB">
              <w:rPr>
                <w:rFonts w:ascii="Times New Roman" w:eastAsia="Calibri" w:hAnsi="Times New Roman"/>
                <w:sz w:val="28"/>
                <w:szCs w:val="28"/>
              </w:rPr>
              <w:t>Сургутского</w:t>
            </w:r>
            <w:proofErr w:type="spellEnd"/>
            <w:r w:rsidRPr="000F0FBB">
              <w:rPr>
                <w:rFonts w:ascii="Times New Roman" w:eastAsia="Calibri" w:hAnsi="Times New Roman"/>
                <w:sz w:val="28"/>
                <w:szCs w:val="28"/>
              </w:rPr>
              <w:t xml:space="preserve"> района от 28 января 2020 г. № 263-нп</w:t>
            </w:r>
            <w:r w:rsidRPr="000F0FBB">
              <w:rPr>
                <w:rFonts w:ascii="Times New Roman" w:hAnsi="Times New Roman"/>
                <w:sz w:val="28"/>
                <w:szCs w:val="28"/>
              </w:rPr>
              <w:t xml:space="preserve"> (с изменениями от 13.07.2020 № 2808-нпа, от 15.10.2020 № 4415-нпа, от 03.06.2021 № 2036-нпа, от 02.11.2021 № 4311-нпа от 19 апреля 2022 г. № 1417-нпа 28.01.2020 № 263-нпа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C44624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7B5AF9" w:rsidRDefault="000C10FF" w:rsidP="00AA4C2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Предоставление субсидии из бюджета города Нефтеюганска </w:t>
            </w:r>
            <w:r w:rsidR="00943E6A" w:rsidRPr="00943E6A">
              <w:rPr>
                <w:rFonts w:ascii="Times New Roman" w:eastAsia="Calibri" w:hAnsi="Times New Roman"/>
                <w:sz w:val="28"/>
                <w:szCs w:val="28"/>
              </w:rPr>
      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AA4C23" w:rsidP="00AA4C2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 свое действие на правоотношения, возникшие с 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1A3282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="002E4635"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1A3282" w:rsidRDefault="000C10FF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муниципального нормативного правового акта определяет порядок </w:t>
            </w:r>
            <w:r w:rsidR="00943E6A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1A3282" w:rsidRPr="00754396">
              <w:rPr>
                <w:rFonts w:ascii="Times New Roman" w:eastAsia="Calibri" w:hAnsi="Times New Roman"/>
                <w:sz w:val="28"/>
                <w:szCs w:val="28"/>
              </w:rPr>
              <w:t xml:space="preserve">озмещение затрат юридическим лицам, индивидуальным предпринимателям, физическим лицам, оказывающим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целях улучшения качества жизни </w:t>
            </w:r>
            <w:r w:rsidR="001A3282" w:rsidRPr="00754396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населения путем обеспечения бесперебойного водоотведения</w:t>
            </w:r>
            <w:r w:rsidR="001A3282" w:rsidRPr="00754396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1A3282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и </w:t>
            </w:r>
            <w:r w:rsidR="001A3282" w:rsidRPr="00754396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реализации муниципальной программы 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города Нефтеюганска «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Развитие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жилищно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коммунального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комплекса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и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повышение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энергетической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эффективности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в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городе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Нефтеюганске»</w:t>
            </w:r>
            <w:r w:rsidR="001A3282">
              <w:rPr>
                <w:rFonts w:ascii="Times New Roman" w:hAnsi="Times New Roman"/>
                <w:sz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1A3282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p w:rsidR="0065091A" w:rsidRDefault="0065091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2 959,9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</w:t>
            </w:r>
            <w:r w:rsidR="001A3282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2 959,9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41EE0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Получатель субсидии (у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частник отбора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6E3D49">
              <w:t xml:space="preserve"> 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0C10FF" w:rsidRDefault="0028422D" w:rsidP="00341E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      </w:r>
          </w:p>
          <w:p w:rsidR="00341EE0" w:rsidRPr="007B5AF9" w:rsidRDefault="00341EE0" w:rsidP="00B71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>ежемесячно не позднее 25 числа месяца, следующего за отчетным месяцем, предоставля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ть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адрес департамента ЖКХ отчет о достижении значений результатов предоставления субсидии</w:t>
            </w:r>
            <w:r w:rsidR="00B7130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3" w:type="pct"/>
            <w:shd w:val="clear" w:color="auto" w:fill="auto"/>
          </w:tcPr>
          <w:p w:rsidR="000C10FF" w:rsidRPr="0028422D" w:rsidRDefault="00341EE0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Нефтеюганска 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lastRenderedPageBreak/>
              <w:t>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B71301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55" w:type="pct"/>
          </w:tcPr>
          <w:p w:rsidR="000C10FF" w:rsidRPr="0028422D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52,73193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45"/>
        <w:gridCol w:w="2311"/>
        <w:gridCol w:w="2461"/>
        <w:gridCol w:w="2251"/>
      </w:tblGrid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8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участника отбора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B64A2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</w:t>
            </w: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386769" w:rsidRDefault="00B64A27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Риск 2.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Отсутствие организации уличного, дворового освещения и иллюминации в городе Нефтеюганске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B64A27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2.Нарушение получателем субсидии условий, установленных при их предоставлении</w:t>
            </w:r>
          </w:p>
        </w:tc>
        <w:tc>
          <w:tcPr>
            <w:tcW w:w="1357" w:type="pct"/>
            <w:shd w:val="clear" w:color="auto" w:fill="auto"/>
          </w:tcPr>
          <w:p w:rsidR="000C10FF" w:rsidRPr="007B5AF9" w:rsidRDefault="00C96CB5" w:rsidP="00C96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AC3946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0C10FF" w:rsidRPr="007B5AF9" w:rsidTr="00E32672">
        <w:tc>
          <w:tcPr>
            <w:tcW w:w="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</w:t>
            </w:r>
            <w:r w:rsidR="00B71301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B71301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  <w:p w:rsidR="000C10FF" w:rsidRPr="007B5AF9" w:rsidRDefault="00D91C8A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1596"/>
        <w:gridCol w:w="2344"/>
        <w:gridCol w:w="988"/>
        <w:gridCol w:w="1096"/>
        <w:gridCol w:w="2506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4F51B9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F51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</w:t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752526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2526">
              <w:rPr>
                <w:rFonts w:ascii="Times New Roman" w:hAnsi="Times New Roman"/>
                <w:sz w:val="28"/>
              </w:rPr>
              <w:t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Pr="00752526">
              <w:rPr>
                <w:rFonts w:ascii="Times New Roman" w:hAnsi="Times New Roman"/>
                <w:sz w:val="28"/>
              </w:rPr>
              <w:t xml:space="preserve"> (</w:t>
            </w:r>
            <w:r w:rsidRPr="00752526">
              <w:rPr>
                <w:rFonts w:ascii="Times New Roman" w:hAnsi="Times New Roman"/>
                <w:sz w:val="28"/>
              </w:rPr>
              <w:t>не менее 100% домов, от количества домов, бытовые сточные воды от которых подлежат откачке и вывозу</w:t>
            </w:r>
            <w:r>
              <w:t>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752526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оцент, %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/>
    <w:sectPr w:rsidR="00D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FA6" w:rsidRDefault="007E0FA6" w:rsidP="000C10FF">
      <w:pPr>
        <w:spacing w:after="0" w:line="240" w:lineRule="auto"/>
      </w:pPr>
      <w:r>
        <w:separator/>
      </w:r>
    </w:p>
  </w:endnote>
  <w:endnote w:type="continuationSeparator" w:id="0">
    <w:p w:rsidR="007E0FA6" w:rsidRDefault="007E0FA6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FA6" w:rsidRDefault="007E0FA6" w:rsidP="000C10FF">
      <w:pPr>
        <w:spacing w:after="0" w:line="240" w:lineRule="auto"/>
      </w:pPr>
      <w:r>
        <w:separator/>
      </w:r>
    </w:p>
  </w:footnote>
  <w:footnote w:type="continuationSeparator" w:id="0">
    <w:p w:rsidR="007E0FA6" w:rsidRDefault="007E0FA6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636D9"/>
    <w:rsid w:val="00087B26"/>
    <w:rsid w:val="000C10FF"/>
    <w:rsid w:val="000C7A06"/>
    <w:rsid w:val="000E1078"/>
    <w:rsid w:val="0014467B"/>
    <w:rsid w:val="00193BA5"/>
    <w:rsid w:val="001A3282"/>
    <w:rsid w:val="001B7661"/>
    <w:rsid w:val="001C7496"/>
    <w:rsid w:val="001D3A0A"/>
    <w:rsid w:val="0022513C"/>
    <w:rsid w:val="0028422D"/>
    <w:rsid w:val="002B0E3A"/>
    <w:rsid w:val="002C30B9"/>
    <w:rsid w:val="002C45FF"/>
    <w:rsid w:val="002C4FE3"/>
    <w:rsid w:val="002E4635"/>
    <w:rsid w:val="00341EE0"/>
    <w:rsid w:val="00346C7F"/>
    <w:rsid w:val="003C13C5"/>
    <w:rsid w:val="00491837"/>
    <w:rsid w:val="004B420F"/>
    <w:rsid w:val="004E1320"/>
    <w:rsid w:val="004E5A9B"/>
    <w:rsid w:val="004F51B9"/>
    <w:rsid w:val="0050271F"/>
    <w:rsid w:val="005453F7"/>
    <w:rsid w:val="005F7964"/>
    <w:rsid w:val="0065091A"/>
    <w:rsid w:val="0065300A"/>
    <w:rsid w:val="0066370D"/>
    <w:rsid w:val="006721F6"/>
    <w:rsid w:val="006E3D49"/>
    <w:rsid w:val="00704DBF"/>
    <w:rsid w:val="0074258C"/>
    <w:rsid w:val="00752526"/>
    <w:rsid w:val="0076032F"/>
    <w:rsid w:val="0076438B"/>
    <w:rsid w:val="00766100"/>
    <w:rsid w:val="007E0FA6"/>
    <w:rsid w:val="007E243D"/>
    <w:rsid w:val="007F0A09"/>
    <w:rsid w:val="00832199"/>
    <w:rsid w:val="008444ED"/>
    <w:rsid w:val="008C1AA9"/>
    <w:rsid w:val="008C2396"/>
    <w:rsid w:val="008F409B"/>
    <w:rsid w:val="00902B8F"/>
    <w:rsid w:val="00943E6A"/>
    <w:rsid w:val="009770B0"/>
    <w:rsid w:val="00997267"/>
    <w:rsid w:val="009C4DE3"/>
    <w:rsid w:val="009C6C80"/>
    <w:rsid w:val="009E3998"/>
    <w:rsid w:val="00A4025F"/>
    <w:rsid w:val="00A702BB"/>
    <w:rsid w:val="00AA4C23"/>
    <w:rsid w:val="00AC3946"/>
    <w:rsid w:val="00B64A27"/>
    <w:rsid w:val="00B65CE6"/>
    <w:rsid w:val="00B71301"/>
    <w:rsid w:val="00B92A38"/>
    <w:rsid w:val="00C157E8"/>
    <w:rsid w:val="00C22B31"/>
    <w:rsid w:val="00C83604"/>
    <w:rsid w:val="00C96CB5"/>
    <w:rsid w:val="00CF3B89"/>
    <w:rsid w:val="00D17618"/>
    <w:rsid w:val="00D37E05"/>
    <w:rsid w:val="00D670DD"/>
    <w:rsid w:val="00D90A05"/>
    <w:rsid w:val="00D91C8A"/>
    <w:rsid w:val="00D920C2"/>
    <w:rsid w:val="00DB0080"/>
    <w:rsid w:val="00DF168E"/>
    <w:rsid w:val="00EC5BE9"/>
    <w:rsid w:val="00F274EE"/>
    <w:rsid w:val="00F8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13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63</cp:revision>
  <dcterms:created xsi:type="dcterms:W3CDTF">2024-01-11T11:16:00Z</dcterms:created>
  <dcterms:modified xsi:type="dcterms:W3CDTF">2024-02-01T05:47:00Z</dcterms:modified>
</cp:coreProperties>
</file>