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A934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A93467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января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8F409B" w:rsidRDefault="000C10FF" w:rsidP="00A934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A93467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февраля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</w:t>
            </w:r>
            <w:r w:rsidR="00B65CE6"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8F409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66370D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Pr="007B5AF9" w:rsidRDefault="000C10FF" w:rsidP="0098131F">
      <w:pPr>
        <w:pStyle w:val="a3"/>
        <w:jc w:val="center"/>
      </w:pPr>
      <w:r w:rsidRPr="007B5AF9">
        <w:t>1.Общая информация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04DBF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7B5AF9" w:rsidRDefault="00704DBF" w:rsidP="008A63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роект постановления администрации города Нефтеюганска </w:t>
            </w:r>
            <w:r w:rsidR="008A63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proofErr w:type="gramStart"/>
            <w:r w:rsidR="008A63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«</w:t>
            </w:r>
            <w:proofErr w:type="gramEnd"/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города Нефтеюганска от </w:t>
            </w:r>
            <w:r w:rsidR="008A633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8A633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.202</w:t>
            </w:r>
            <w:r w:rsidR="008A633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8A6331">
              <w:rPr>
                <w:rFonts w:ascii="Times New Roman" w:hAnsi="Times New Roman"/>
                <w:sz w:val="28"/>
                <w:szCs w:val="28"/>
                <w:lang w:eastAsia="ru-RU"/>
              </w:rPr>
              <w:t>122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-нп «</w:t>
            </w:r>
            <w:r w:rsidR="008A6331" w:rsidRPr="008A6331">
              <w:rPr>
                <w:rFonts w:ascii="Times New Roman" w:hAnsi="Times New Roman"/>
                <w:sz w:val="28"/>
                <w:szCs w:val="28"/>
                <w:lang w:eastAsia="ru-RU"/>
              </w:rPr>
              <w:t>Об утверждении порядка предоставления субсидии из бюджета города Нефтеюганска на возмещение затрат, связанных с содержанием и обслуживанием модульных туалетов (включая текущий ремонт) на территории города Нефтеюганска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rPr>
          <w:trHeight w:val="1943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2C4FE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>проект разработан в соответствии со статьёй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Правительства Российской Федерации от 25 октября 2023                          </w:t>
            </w:r>
            <w:r w:rsidR="002C4FE3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  <w:r w:rsidR="002C4FE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8A6331" w:rsidRDefault="008A6331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Клинова Карина Дмитриевна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C157E8" w:rsidP="00C157E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главный специалист отдела экономической политики и мониторинга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8(3463) 23 77 49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tarif.DJKH@admugansk.ru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Pr="007B5AF9" w:rsidRDefault="000C10FF" w:rsidP="009813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1"/>
        <w:gridCol w:w="3767"/>
        <w:gridCol w:w="4477"/>
      </w:tblGrid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C157E8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Средняя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5" w:type="dxa"/>
            <w:gridSpan w:val="2"/>
          </w:tcPr>
          <w:p w:rsidR="000C10FF" w:rsidRPr="00F53BA4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E32672">
        <w:tc>
          <w:tcPr>
            <w:tcW w:w="4907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74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0C10FF" w:rsidRPr="006C7AAD" w:rsidRDefault="000C10FF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i/>
                <w:sz w:val="28"/>
                <w:szCs w:val="28"/>
              </w:rPr>
              <w:t>да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обязанности и запреты для субъектов предпринимательской и инвестиционной деятельности</w:t>
            </w:r>
          </w:p>
        </w:tc>
        <w:tc>
          <w:tcPr>
            <w:tcW w:w="4721" w:type="dxa"/>
          </w:tcPr>
          <w:p w:rsidR="000C10FF" w:rsidRPr="00F53BA4" w:rsidRDefault="000C10FF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2.3.3.</w:t>
            </w:r>
          </w:p>
        </w:tc>
        <w:tc>
          <w:tcPr>
            <w:tcW w:w="3774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содержит положения, предусмотренные 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да</w:t>
            </w:r>
          </w:p>
          <w:p w:rsidR="000C10FF" w:rsidRPr="00F53BA4" w:rsidRDefault="00D17618" w:rsidP="00A93467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остановление Правительства Российской Федерации от 25 октября 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</w:t>
            </w:r>
            <w:r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0C10FF" w:rsidRPr="007B5AF9" w:rsidRDefault="008A6331" w:rsidP="008A6331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8A6331">
              <w:rPr>
                <w:rFonts w:ascii="Times New Roman" w:hAnsi="Times New Roman"/>
                <w:sz w:val="28"/>
                <w:szCs w:val="28"/>
                <w:lang w:eastAsia="ru-RU"/>
              </w:rPr>
              <w:t>-на возмещение затрат, связанных с содержанием и обслуживанием модульных туалетов (включая текущий ремонт) на территории города Нефтеюганска», в целях поддержания санитарного состояния территорий города в местах массового отдыха жителей и гостей города, а также при проведении праздничных общегородских мероприятий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  <w:r w:rsidR="005453F7" w:rsidRPr="005453F7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5453F7" w:rsidRPr="005453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Неисполнение мероприятий муниципальной программы города Нефтеюганска «Развитие жилищно-коммунального комплекса и </w:t>
            </w:r>
            <w:r w:rsidR="005453F7" w:rsidRPr="005453F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повышение энергетической эффективности в городе Нефтеюганске».</w:t>
            </w:r>
            <w:r w:rsidR="005453F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A6331" w:rsidRPr="008A6331">
              <w:rPr>
                <w:rFonts w:ascii="Times New Roman" w:hAnsi="Times New Roman"/>
                <w:sz w:val="28"/>
                <w:szCs w:val="28"/>
                <w:lang w:eastAsia="ru-RU"/>
              </w:rPr>
              <w:t>Реализация данной цели направлено на обеспечение надлежащего санитарного состояния территории населенных мест города в местах массового отдыха жителей и гостей города при проведении праздничных общегородских мероприятий</w:t>
            </w:r>
            <w:r w:rsidR="008A633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rPr>
          <w:trHeight w:val="1759"/>
        </w:trPr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590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C30B9" w:rsidRPr="008A6331" w:rsidRDefault="008A6331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A6331">
              <w:rPr>
                <w:rFonts w:ascii="Times New Roman" w:hAnsi="Times New Roman"/>
                <w:sz w:val="28"/>
                <w:szCs w:val="28"/>
                <w:lang w:eastAsia="ru-RU"/>
              </w:rPr>
              <w:t>В целях обеспечения надлежащего санитарного состояния территории населенных мест города в местах массового отдыха жителей и гостей города при проведении праздничных общегородских мероприятий</w:t>
            </w:r>
            <w:r w:rsidR="002C30B9" w:rsidRPr="002C30B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0271F" w:rsidRPr="007B5AF9" w:rsidRDefault="00FF49C9" w:rsidP="001C749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F49C9"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данного проекта муниципального нормативного правового акта является необходимым условием внедрения правового регулирования, без поддержки со стороны администрации муниципального образования город Нефтеюганск решить данную проблему не представляется возможны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50271F" w:rsidRPr="0050271F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2B0E3A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Опыт решения аналогичных проблем в </w:t>
            </w:r>
            <w:r w:rsidRPr="008129C3">
              <w:rPr>
                <w:rFonts w:ascii="Times New Roman" w:hAnsi="Times New Roman"/>
                <w:sz w:val="28"/>
                <w:szCs w:val="28"/>
                <w:lang w:eastAsia="ru-RU"/>
              </w:rPr>
              <w:t>других муниципальных образованиях Ханты-Мансийского автономного округа-Югры, в субъектах Российской Федерации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8A6331" w:rsidP="002B0E3A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-</w:t>
            </w:r>
            <w:r w:rsidRPr="008A6331">
              <w:rPr>
                <w:rFonts w:ascii="Times New Roman" w:eastAsia="Calibri" w:hAnsi="Times New Roman"/>
                <w:sz w:val="28"/>
                <w:szCs w:val="28"/>
              </w:rPr>
              <w:t>Постановление администрация города Нижневартовска от15.09.2017 №1409 «Об утверждении Порядка предоставления субсидии из бюджета города Нижневартовска на возмещение затрат на обслуживание и содержание биотуалетов»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0C10FF" w:rsidRPr="007B5AF9" w:rsidRDefault="000C10FF" w:rsidP="00AA4C23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(Цель 1)</w:t>
            </w:r>
            <w:r w:rsidR="00AA4C23" w:rsidRPr="00AA4C23">
              <w:rPr>
                <w:rFonts w:ascii="Times New Roman" w:eastAsia="Calibri" w:hAnsi="Times New Roman"/>
                <w:sz w:val="28"/>
                <w:szCs w:val="28"/>
              </w:rPr>
              <w:t xml:space="preserve"> Предоставление субсидии из бюджета города Нефтеюганска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Нефтеюганска)».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0C10FF" w:rsidRPr="007B5AF9" w:rsidRDefault="00A93467" w:rsidP="00A93467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0</w:t>
            </w:r>
            <w:r w:rsidR="00AA4C2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>.0</w:t>
            </w:r>
            <w:r w:rsidR="00AA4C2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>.202</w:t>
            </w:r>
            <w:r w:rsidR="00AA4C23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по 31.12.2024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 года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 а в части платежей до полного их завершения, но не позднее 1 мая очередного финансового года.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2E4635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           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BE0E14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BE0E1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BE0E14" w:rsidRPr="00BE0E14">
              <w:rPr>
                <w:rFonts w:ascii="Times New Roman" w:eastAsia="Calibri" w:hAnsi="Times New Roman"/>
                <w:sz w:val="28"/>
                <w:szCs w:val="28"/>
              </w:rPr>
              <w:t>анный проект муниципального нормативного правового акта определяет порядок предоставления субсидии из бюджета города Нефтеюганск на возмещение затрат, связанных с содержанием и обслуживанием модульных туалетов (включая текущий ремонт) на территории города Нефтеюганска»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ные способы отсутствуют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89600C" w:rsidRDefault="000C10FF" w:rsidP="0098131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p w:rsidR="0098131F" w:rsidRPr="00FF3D30" w:rsidRDefault="0098131F" w:rsidP="0098131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7B5AF9" w:rsidRDefault="001477E0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544118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544118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6721F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5091A" w:rsidRDefault="000C10FF" w:rsidP="0098131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функции, полномочия, обязанности 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права органа или структурного </w:t>
      </w:r>
      <w:r w:rsidRPr="00C44624">
        <w:rPr>
          <w:rFonts w:ascii="Times New Roman" w:hAnsi="Times New Roman"/>
          <w:sz w:val="28"/>
          <w:szCs w:val="28"/>
          <w:lang w:eastAsia="ru-RU"/>
        </w:rPr>
        <w:t>подразделения администрации города Нефтеюганска, или сведения об их изменении, а также порядок их реализации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писание новых или изменения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C10FF" w:rsidRPr="008C1AA9" w:rsidRDefault="008C1AA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C10FF" w:rsidRPr="007B5AF9" w:rsidRDefault="008C1AA9" w:rsidP="00E3267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2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0E107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Администрация города Нефтеюганска</w:t>
            </w:r>
          </w:p>
        </w:tc>
      </w:tr>
      <w:tr w:rsidR="000E1078" w:rsidRPr="007B5AF9" w:rsidTr="00E32672">
        <w:tc>
          <w:tcPr>
            <w:tcW w:w="1789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Внесение изменений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НПА 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не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предусматривает изменений существующих функций</w:t>
            </w: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92" w:type="pct"/>
            <w:shd w:val="clear" w:color="auto" w:fill="auto"/>
          </w:tcPr>
          <w:p w:rsidR="000E1078" w:rsidRPr="008C1AA9" w:rsidRDefault="000E1078" w:rsidP="000E10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 требуется изменений в существующий порядок реализации</w:t>
            </w:r>
          </w:p>
        </w:tc>
        <w:tc>
          <w:tcPr>
            <w:tcW w:w="1619" w:type="pct"/>
            <w:shd w:val="clear" w:color="auto" w:fill="auto"/>
          </w:tcPr>
          <w:p w:rsidR="000E1078" w:rsidRPr="007B5AF9" w:rsidRDefault="000E1078" w:rsidP="000E10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C1AA9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 потребность в иных ресурсах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65091A" w:rsidRDefault="000C10FF" w:rsidP="0098131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98131F" w:rsidP="009813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98131F" w:rsidP="009813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8131F">
              <w:rPr>
                <w:rFonts w:ascii="Times New Roman" w:hAnsi="Times New Roman"/>
                <w:sz w:val="28"/>
                <w:szCs w:val="28"/>
                <w:lang w:eastAsia="ru-RU"/>
              </w:rPr>
              <w:t>4 918,7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98131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</w:t>
            </w:r>
            <w:r w:rsidR="00A93467">
              <w:rPr>
                <w:rFonts w:ascii="Times New Roman" w:hAnsi="Times New Roman"/>
                <w:sz w:val="28"/>
                <w:szCs w:val="28"/>
                <w:lang w:eastAsia="ru-RU"/>
              </w:rPr>
              <w:t>ные расходы за период 2024 год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93467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98131F" w:rsidP="009813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4 918,7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A934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</w:t>
            </w:r>
            <w:r w:rsidR="00A93467">
              <w:rPr>
                <w:rFonts w:ascii="Times New Roman" w:hAnsi="Times New Roman"/>
                <w:sz w:val="28"/>
                <w:szCs w:val="28"/>
                <w:lang w:eastAsia="ru-RU"/>
              </w:rPr>
              <w:t>озможные поступления за период 2024 год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A93467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</w:t>
      </w:r>
      <w:r w:rsidRPr="00386769">
        <w:rPr>
          <w:rFonts w:ascii="Times New Roman" w:hAnsi="Times New Roman"/>
          <w:sz w:val="28"/>
          <w:szCs w:val="28"/>
          <w:lang w:eastAsia="ru-RU"/>
        </w:rPr>
        <w:lastRenderedPageBreak/>
        <w:t>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403"/>
        <w:gridCol w:w="2267"/>
        <w:gridCol w:w="1411"/>
      </w:tblGrid>
      <w:tr w:rsidR="000C10FF" w:rsidRPr="007B5AF9" w:rsidTr="00997267">
        <w:tc>
          <w:tcPr>
            <w:tcW w:w="121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55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Юридические лица, индивидуальные предприниматели</w:t>
            </w:r>
          </w:p>
        </w:tc>
        <w:tc>
          <w:tcPr>
            <w:tcW w:w="1821" w:type="pct"/>
            <w:shd w:val="clear" w:color="auto" w:fill="auto"/>
          </w:tcPr>
          <w:p w:rsidR="00341EE0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Получатель субсидии (у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частник отбора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6E3D49">
              <w:t xml:space="preserve"> 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28422D" w:rsidRPr="0028422D" w:rsidRDefault="0028422D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-не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      </w:r>
          </w:p>
          <w:p w:rsidR="000C10FF" w:rsidRDefault="0028422D" w:rsidP="00341E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-не должен являться иностранным агентом в соответствии с Федеральным законом «О 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контроле за деятельностью лиц, находящихся под иностранным влиянием</w:t>
            </w:r>
          </w:p>
          <w:p w:rsidR="00341EE0" w:rsidRPr="007B5AF9" w:rsidRDefault="00341EE0" w:rsidP="00B64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t>ежемесячно не позднее 25 числа месяца, следующего за отчетным месяцем, предоставля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ть</w:t>
            </w: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адрес департамента ЖКХ отчет о достижении значений результатов предоставления субсидии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-долж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ен выполнять</w:t>
            </w:r>
            <w:r w:rsidR="006E3D49" w:rsidRPr="006E3D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работ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ы,</w:t>
            </w:r>
            <w:r w:rsidR="006E3D49" w:rsidRPr="006E3D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предусматрива</w:t>
            </w:r>
            <w:r w:rsidR="006E3D49">
              <w:rPr>
                <w:rFonts w:ascii="Times New Roman" w:hAnsi="Times New Roman"/>
                <w:sz w:val="28"/>
                <w:szCs w:val="28"/>
                <w:lang w:eastAsia="ru-RU"/>
              </w:rPr>
              <w:t>ющие</w:t>
            </w:r>
            <w:r w:rsidR="006E3D49" w:rsidRPr="006E3D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замену вышедших из эксплуатации светильников на светодиодные, не ухудшающие технические характеристики объектов уличного, дворового освещения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13" w:type="pct"/>
            <w:shd w:val="clear" w:color="auto" w:fill="auto"/>
          </w:tcPr>
          <w:p w:rsidR="000C10FF" w:rsidRPr="0028422D" w:rsidRDefault="00341EE0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41EE0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Постановление администрации города Нефтеюганска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</w:tc>
        <w:tc>
          <w:tcPr>
            <w:tcW w:w="755" w:type="pct"/>
          </w:tcPr>
          <w:p w:rsidR="000C10FF" w:rsidRPr="0028422D" w:rsidRDefault="0098131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59,887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1544"/>
        <w:gridCol w:w="2311"/>
        <w:gridCol w:w="2461"/>
        <w:gridCol w:w="2252"/>
      </w:tblGrid>
      <w:tr w:rsidR="000C10FF" w:rsidRPr="007B5AF9" w:rsidTr="00A93467">
        <w:tc>
          <w:tcPr>
            <w:tcW w:w="124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23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1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A93467">
        <w:tc>
          <w:tcPr>
            <w:tcW w:w="1242" w:type="pct"/>
            <w:gridSpan w:val="2"/>
            <w:shd w:val="clear" w:color="auto" w:fill="auto"/>
          </w:tcPr>
          <w:p w:rsidR="000C10FF" w:rsidRPr="007F0A09" w:rsidRDefault="007F0A09" w:rsidP="00B64A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1. 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о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сновани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отклонения заявки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участия в отборе на предоставление субсидии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на стадии ее рассмотрения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B64A27"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36" w:type="pct"/>
            <w:shd w:val="clear" w:color="auto" w:fill="auto"/>
          </w:tcPr>
          <w:p w:rsidR="00B64A27" w:rsidRPr="00B64A27" w:rsidRDefault="00B64A27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Несоответствие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участника отбора</w:t>
            </w:r>
          </w:p>
          <w:p w:rsidR="00B64A27" w:rsidRDefault="00AC3946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категориям и критериям</w:t>
            </w:r>
            <w:r w:rsid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B64A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17" w:type="pct"/>
            <w:shd w:val="clear" w:color="auto" w:fill="auto"/>
          </w:tcPr>
          <w:p w:rsidR="000C10FF" w:rsidRPr="007B5AF9" w:rsidRDefault="00AC3946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t>Проверка департаментом ЖКХ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на предмет соответствия участника отбора категориям и критериям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требованиям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, установленным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 П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предоставления субсидии </w:t>
            </w:r>
            <w:r w:rsidRPr="00AC3946">
              <w:rPr>
                <w:rFonts w:ascii="Times New Roman" w:hAnsi="Times New Roman"/>
                <w:sz w:val="28"/>
                <w:szCs w:val="28"/>
                <w:lang w:eastAsia="ru-RU"/>
              </w:rPr>
              <w:t>и требованиям к перечню документов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04" w:type="pct"/>
            <w:shd w:val="clear" w:color="auto" w:fill="auto"/>
          </w:tcPr>
          <w:p w:rsidR="000C10FF" w:rsidRPr="007B5AF9" w:rsidRDefault="00B64A27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Средняя</w:t>
            </w:r>
          </w:p>
        </w:tc>
      </w:tr>
      <w:tr w:rsidR="000C10FF" w:rsidRPr="007B5AF9" w:rsidTr="00A93467">
        <w:tc>
          <w:tcPr>
            <w:tcW w:w="41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84" w:type="pct"/>
            <w:gridSpan w:val="4"/>
            <w:shd w:val="clear" w:color="auto" w:fill="auto"/>
          </w:tcPr>
          <w:p w:rsidR="00D91C8A" w:rsidRDefault="000C10FF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Постановление администрации города Нефтеюганска «Об утверждении порядка предоставления субсидии из бюджета города Нефтеюганска на возмещение затрат</w:t>
            </w:r>
            <w:r w:rsidR="00BE0E14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E0E14" w:rsidRPr="00BE0E14">
              <w:rPr>
                <w:rFonts w:ascii="Times New Roman" w:hAnsi="Times New Roman"/>
                <w:sz w:val="28"/>
                <w:szCs w:val="28"/>
                <w:lang w:eastAsia="ru-RU"/>
              </w:rPr>
              <w:t>связанных с содержанием и обслуживанием модульных туалетов (включая текущий ремонт) на территории города Нефтеюганска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D91C8A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D91C8A" w:rsidRPr="00D91C8A" w:rsidRDefault="00D91C8A" w:rsidP="00D91C8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D91C8A">
              <w:rPr>
                <w:rFonts w:ascii="Times New Roman" w:hAnsi="Times New Roman"/>
                <w:sz w:val="28"/>
                <w:szCs w:val="28"/>
                <w:lang w:eastAsia="ru-RU"/>
              </w:rPr>
              <w:t>Статья 78 Бюджетного кодекса Российской Федерации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0C10FF" w:rsidRPr="007B5AF9" w:rsidRDefault="000C10FF" w:rsidP="00EC5B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C10FF" w:rsidRDefault="000C10FF" w:rsidP="0098131F">
      <w:pPr>
        <w:pStyle w:val="a3"/>
      </w:pPr>
    </w:p>
    <w:p w:rsidR="000C10FF" w:rsidRPr="007B5AF9" w:rsidRDefault="000C10FF" w:rsidP="0098131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449"/>
        <w:gridCol w:w="2369"/>
        <w:gridCol w:w="1044"/>
        <w:gridCol w:w="1125"/>
        <w:gridCol w:w="2580"/>
      </w:tblGrid>
      <w:tr w:rsidR="000C10FF" w:rsidRPr="007B5AF9" w:rsidTr="004F51B9">
        <w:tc>
          <w:tcPr>
            <w:tcW w:w="132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7B5AF9" w:rsidTr="004F51B9">
        <w:trPr>
          <w:trHeight w:val="330"/>
        </w:trPr>
        <w:tc>
          <w:tcPr>
            <w:tcW w:w="1324" w:type="pct"/>
            <w:gridSpan w:val="2"/>
            <w:shd w:val="clear" w:color="auto" w:fill="auto"/>
          </w:tcPr>
          <w:p w:rsidR="000C10FF" w:rsidRPr="00386769" w:rsidRDefault="00BE0E14" w:rsidP="00BE0E14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BE0E14">
              <w:rPr>
                <w:rFonts w:ascii="Times New Roman" w:eastAsia="Calibri" w:hAnsi="Times New Roman"/>
                <w:sz w:val="28"/>
                <w:szCs w:val="28"/>
              </w:rPr>
              <w:t>Предоставление субсидии из бюджета города Нефтеюганска на возм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ещение затрат, </w:t>
            </w:r>
            <w:r w:rsidRPr="00BE0E14">
              <w:rPr>
                <w:rFonts w:ascii="Times New Roman" w:eastAsia="Calibri" w:hAnsi="Times New Roman"/>
                <w:sz w:val="28"/>
                <w:szCs w:val="28"/>
              </w:rPr>
              <w:t>связанных с содержанием и обслуживанием модульных туалетов (включая текущий ремонт) на территории города Нефтеюганска»</w:t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BE0E14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0E14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надлежащего содержания и обслуживания модульных туалетов на территории города Нефтеюганска (не менее 100% от предусмотренных регламентом работ)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4F51B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="00A93467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>оцент, %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4F51B9" w:rsidP="00A9346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F51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Данные из постановления администрации от </w:t>
            </w:r>
            <w:r w:rsidR="00A93467">
              <w:rPr>
                <w:rFonts w:ascii="Times New Roman" w:hAnsi="Times New Roman"/>
                <w:sz w:val="28"/>
                <w:szCs w:val="28"/>
                <w:lang w:eastAsia="ru-RU"/>
              </w:rPr>
              <w:t>15.11.2018</w:t>
            </w:r>
            <w:r w:rsidR="00A93467" w:rsidRPr="00A9346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605-п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4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ступает в силу после его официального опубликования и распространяет свое действие на правоотношения, возникшие с 01.01.2024 года.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E32672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Э.Д.Якубова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Default="00D920C2" w:rsidP="0098131F"/>
    <w:sectPr w:rsidR="00D9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396" w:rsidRDefault="008C2396" w:rsidP="000C10FF">
      <w:pPr>
        <w:spacing w:after="0" w:line="240" w:lineRule="auto"/>
      </w:pPr>
      <w:r>
        <w:separator/>
      </w:r>
    </w:p>
  </w:endnote>
  <w:endnote w:type="continuationSeparator" w:id="0">
    <w:p w:rsidR="008C2396" w:rsidRDefault="008C2396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396" w:rsidRDefault="008C2396" w:rsidP="000C10FF">
      <w:pPr>
        <w:spacing w:after="0" w:line="240" w:lineRule="auto"/>
      </w:pPr>
      <w:r>
        <w:separator/>
      </w:r>
    </w:p>
  </w:footnote>
  <w:footnote w:type="continuationSeparator" w:id="0">
    <w:p w:rsidR="008C2396" w:rsidRDefault="008C2396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636D9"/>
    <w:rsid w:val="00087B26"/>
    <w:rsid w:val="000C10FF"/>
    <w:rsid w:val="000C7A06"/>
    <w:rsid w:val="000E1078"/>
    <w:rsid w:val="0014467B"/>
    <w:rsid w:val="001477E0"/>
    <w:rsid w:val="00193BA5"/>
    <w:rsid w:val="001B7661"/>
    <w:rsid w:val="001C7496"/>
    <w:rsid w:val="001D3A0A"/>
    <w:rsid w:val="0022513C"/>
    <w:rsid w:val="0028422D"/>
    <w:rsid w:val="002B0E3A"/>
    <w:rsid w:val="002C30B9"/>
    <w:rsid w:val="002C45FF"/>
    <w:rsid w:val="002C4FE3"/>
    <w:rsid w:val="002E4635"/>
    <w:rsid w:val="00341EE0"/>
    <w:rsid w:val="00346C7F"/>
    <w:rsid w:val="003C13C5"/>
    <w:rsid w:val="00491837"/>
    <w:rsid w:val="004B420F"/>
    <w:rsid w:val="004E1320"/>
    <w:rsid w:val="004E5A9B"/>
    <w:rsid w:val="004F51B9"/>
    <w:rsid w:val="0050271F"/>
    <w:rsid w:val="005453F7"/>
    <w:rsid w:val="005F7964"/>
    <w:rsid w:val="0065091A"/>
    <w:rsid w:val="0065300A"/>
    <w:rsid w:val="0066370D"/>
    <w:rsid w:val="006721F6"/>
    <w:rsid w:val="006E3D49"/>
    <w:rsid w:val="00704DBF"/>
    <w:rsid w:val="0074258C"/>
    <w:rsid w:val="0076032F"/>
    <w:rsid w:val="0076438B"/>
    <w:rsid w:val="00766100"/>
    <w:rsid w:val="007E243D"/>
    <w:rsid w:val="007F0A09"/>
    <w:rsid w:val="00832199"/>
    <w:rsid w:val="008444ED"/>
    <w:rsid w:val="0089600C"/>
    <w:rsid w:val="008A6331"/>
    <w:rsid w:val="008C1AA9"/>
    <w:rsid w:val="008C2396"/>
    <w:rsid w:val="008F409B"/>
    <w:rsid w:val="00902B8F"/>
    <w:rsid w:val="009770B0"/>
    <w:rsid w:val="0098131F"/>
    <w:rsid w:val="00997267"/>
    <w:rsid w:val="009C4DE3"/>
    <w:rsid w:val="009C6C80"/>
    <w:rsid w:val="009E3998"/>
    <w:rsid w:val="00A4025F"/>
    <w:rsid w:val="00A702BB"/>
    <w:rsid w:val="00A93467"/>
    <w:rsid w:val="00AA1063"/>
    <w:rsid w:val="00AA4C23"/>
    <w:rsid w:val="00AC3946"/>
    <w:rsid w:val="00B64A27"/>
    <w:rsid w:val="00B65CE6"/>
    <w:rsid w:val="00B92A38"/>
    <w:rsid w:val="00BE0E14"/>
    <w:rsid w:val="00C157E8"/>
    <w:rsid w:val="00C22B31"/>
    <w:rsid w:val="00C83604"/>
    <w:rsid w:val="00C96CB5"/>
    <w:rsid w:val="00CF3B89"/>
    <w:rsid w:val="00D17618"/>
    <w:rsid w:val="00D37E05"/>
    <w:rsid w:val="00D670DD"/>
    <w:rsid w:val="00D90A05"/>
    <w:rsid w:val="00D91C8A"/>
    <w:rsid w:val="00D920C2"/>
    <w:rsid w:val="00DB0080"/>
    <w:rsid w:val="00DF168E"/>
    <w:rsid w:val="00EC5BE9"/>
    <w:rsid w:val="00F274EE"/>
    <w:rsid w:val="00F87788"/>
    <w:rsid w:val="00FF3D30"/>
    <w:rsid w:val="00FF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3034</Words>
  <Characters>17298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ОЭПиМ-106А-4</cp:lastModifiedBy>
  <cp:revision>3</cp:revision>
  <dcterms:created xsi:type="dcterms:W3CDTF">2024-01-26T07:28:00Z</dcterms:created>
  <dcterms:modified xsi:type="dcterms:W3CDTF">2024-01-26T07:54:00Z</dcterms:modified>
</cp:coreProperties>
</file>