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EE5893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0437D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37D0" w:rsidRDefault="000437D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8F1655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96</w:t>
      </w:r>
      <w:r w:rsidR="0050151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01512">
        <w:rPr>
          <w:rFonts w:ascii="Times New Roman" w:eastAsia="Times New Roman" w:hAnsi="Times New Roman" w:cs="Times New Roman"/>
          <w:sz w:val="27"/>
          <w:szCs w:val="27"/>
          <w:lang w:eastAsia="ru-RU"/>
        </w:rPr>
        <w:t>014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151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864 53</w:t>
      </w:r>
      <w:r w:rsidR="008F1655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F1655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07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901 5</w:t>
      </w:r>
      <w:r w:rsidR="00501512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151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95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693 8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69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CD6775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021 192 639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10 870 796 203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CD677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327 3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="00CD677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D677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27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384 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884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="000437D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D6775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171</w:t>
      </w:r>
      <w:r w:rsidR="000C56FF">
        <w:rPr>
          <w:rFonts w:ascii="Times New Roman" w:eastAsia="Times New Roman" w:hAnsi="Times New Roman" w:cs="Times New Roman"/>
          <w:sz w:val="27"/>
          <w:szCs w:val="27"/>
          <w:lang w:eastAsia="ru-RU"/>
        </w:rPr>
        <w:t> 485 934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D6775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556</w:t>
      </w:r>
      <w:r w:rsidR="00DE2C0B">
        <w:rPr>
          <w:rFonts w:ascii="Times New Roman" w:eastAsia="Times New Roman" w:hAnsi="Times New Roman" w:cs="Times New Roman"/>
          <w:sz w:val="27"/>
          <w:szCs w:val="27"/>
          <w:lang w:eastAsia="ru-RU"/>
        </w:rPr>
        <w:t> 370 025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5 000 000</w:t>
      </w:r>
      <w:r w:rsidR="001E64A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4.Утвердить источники финансирования дефицита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9347C0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</w:t>
      </w:r>
      <w:r w:rsidR="000A5553" w:rsidRPr="009347C0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35 989 500</w:t>
      </w:r>
      <w:r w:rsidR="004367C6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C4DFA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0A5553" w:rsidRPr="00426D3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844 688 100 </w:t>
      </w:r>
      <w:r w:rsidR="00981AE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426D3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 534 147 400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3)на</w:t>
      </w:r>
      <w:proofErr w:type="gramEnd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 204 646 900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.По резервному фонду предусмотрены расходы в соответствии со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10 000 000</w:t>
      </w:r>
      <w:r w:rsidR="00981AE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2C4EBC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981AE2" w:rsidRPr="00A93D7C" w:rsidRDefault="000C7017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составе расходов бюджета города Нефтеюганска бюджетные ассигнования, иным образом зарезервированные, на 202</w:t>
      </w:r>
      <w:r w:rsidR="008651F0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215 791 300 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на 202</w:t>
      </w:r>
      <w:r w:rsidR="00007741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65 727 000 рублей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007741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107 612 700 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на: </w:t>
      </w:r>
    </w:p>
    <w:p w:rsidR="00981AE2" w:rsidRPr="00A93D7C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203 791 300 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на 202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10 000 000 рублей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000 000 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D3272E" w:rsidRPr="00A93D7C" w:rsidRDefault="00D3272E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12 000 000 рублей, на 2025 год 12 000 000 рублей, на 2026 год 12 000 000 рублей;</w:t>
      </w:r>
    </w:p>
    <w:p w:rsidR="00D3272E" w:rsidRDefault="00D3272E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43 727 000 рублей, в 2026 году 85 612 700 рублей.</w:t>
      </w:r>
    </w:p>
    <w:p w:rsidR="000A5553" w:rsidRPr="009347C0" w:rsidRDefault="008466E1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45912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муниципального образования город Нефтеюганск:</w:t>
      </w:r>
    </w:p>
    <w:p w:rsidR="00981AE2" w:rsidRPr="00426D3D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945912"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5F3565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656 108 370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4591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981AE2" w:rsidRPr="00426D3D" w:rsidRDefault="00945912" w:rsidP="0087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</w:t>
      </w:r>
      <w:r w:rsidR="00981AE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F3565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410 232 200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1AE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981AE2" w:rsidRPr="00426D3D" w:rsidRDefault="00981AE2" w:rsidP="0087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94591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F3565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408 893 600</w:t>
      </w:r>
      <w:r w:rsidR="00887D9C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945912" w:rsidRPr="00426D3D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="0087597B"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 w:rsidRPr="00426D3D">
        <w:rPr>
          <w:rFonts w:ascii="Times New Roman" w:hAnsi="Times New Roman" w:cs="Times New Roman"/>
          <w:sz w:val="27"/>
          <w:szCs w:val="27"/>
        </w:rPr>
        <w:t xml:space="preserve"> Думы</w:t>
      </w:r>
      <w:r w:rsidR="0087597B" w:rsidRPr="00426D3D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426D3D"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945912" w:rsidRPr="000D332E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D332E">
        <w:rPr>
          <w:rFonts w:ascii="Times New Roman" w:hAnsi="Times New Roman" w:cs="Times New Roman"/>
          <w:sz w:val="27"/>
          <w:szCs w:val="27"/>
        </w:rPr>
        <w:t xml:space="preserve">в 2024 году в сумме </w:t>
      </w:r>
      <w:r w:rsidR="0003624A" w:rsidRPr="000D332E">
        <w:rPr>
          <w:rFonts w:ascii="Times New Roman" w:hAnsi="Times New Roman" w:cs="Times New Roman"/>
          <w:sz w:val="27"/>
          <w:szCs w:val="27"/>
        </w:rPr>
        <w:t>30</w:t>
      </w:r>
      <w:r w:rsidR="00081E08" w:rsidRPr="000D332E">
        <w:rPr>
          <w:rFonts w:ascii="Times New Roman" w:hAnsi="Times New Roman" w:cs="Times New Roman"/>
          <w:sz w:val="27"/>
          <w:szCs w:val="27"/>
        </w:rPr>
        <w:t xml:space="preserve">2 986 000 </w:t>
      </w:r>
      <w:r w:rsidRPr="000D332E">
        <w:rPr>
          <w:rFonts w:ascii="Times New Roman" w:hAnsi="Times New Roman" w:cs="Times New Roman"/>
          <w:sz w:val="27"/>
          <w:szCs w:val="27"/>
        </w:rPr>
        <w:t>рублей;</w:t>
      </w:r>
    </w:p>
    <w:p w:rsidR="00945912" w:rsidRPr="000D332E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D332E">
        <w:rPr>
          <w:rFonts w:ascii="Times New Roman" w:hAnsi="Times New Roman" w:cs="Times New Roman"/>
          <w:sz w:val="27"/>
          <w:szCs w:val="27"/>
        </w:rPr>
        <w:t>в 2025 году в сумме 296</w:t>
      </w:r>
      <w:r w:rsidR="005F3565" w:rsidRPr="000D332E">
        <w:rPr>
          <w:rFonts w:ascii="Times New Roman" w:hAnsi="Times New Roman" w:cs="Times New Roman"/>
          <w:sz w:val="27"/>
          <w:szCs w:val="27"/>
        </w:rPr>
        <w:t> 0</w:t>
      </w:r>
      <w:r w:rsidR="00081E08" w:rsidRPr="000D332E">
        <w:rPr>
          <w:rFonts w:ascii="Times New Roman" w:hAnsi="Times New Roman" w:cs="Times New Roman"/>
          <w:sz w:val="27"/>
          <w:szCs w:val="27"/>
        </w:rPr>
        <w:t>28</w:t>
      </w:r>
      <w:r w:rsidR="005F3565" w:rsidRPr="000D332E">
        <w:rPr>
          <w:rFonts w:ascii="Times New Roman" w:hAnsi="Times New Roman" w:cs="Times New Roman"/>
          <w:sz w:val="27"/>
          <w:szCs w:val="27"/>
        </w:rPr>
        <w:t xml:space="preserve"> </w:t>
      </w:r>
      <w:r w:rsidR="00081E08" w:rsidRPr="000D332E">
        <w:rPr>
          <w:rFonts w:ascii="Times New Roman" w:hAnsi="Times New Roman" w:cs="Times New Roman"/>
          <w:sz w:val="27"/>
          <w:szCs w:val="27"/>
        </w:rPr>
        <w:t>4</w:t>
      </w:r>
      <w:r w:rsidR="005F3565" w:rsidRPr="000D332E">
        <w:rPr>
          <w:rFonts w:ascii="Times New Roman" w:hAnsi="Times New Roman" w:cs="Times New Roman"/>
          <w:sz w:val="27"/>
          <w:szCs w:val="27"/>
        </w:rPr>
        <w:t>00</w:t>
      </w:r>
      <w:r w:rsidRPr="000D332E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945912" w:rsidRPr="00945912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D332E">
        <w:rPr>
          <w:rFonts w:ascii="Times New Roman" w:hAnsi="Times New Roman" w:cs="Times New Roman"/>
          <w:sz w:val="27"/>
          <w:szCs w:val="27"/>
        </w:rPr>
        <w:t xml:space="preserve">в 2026 году в сумме 296 </w:t>
      </w:r>
      <w:r w:rsidR="005F3565" w:rsidRPr="000D332E">
        <w:rPr>
          <w:rFonts w:ascii="Times New Roman" w:hAnsi="Times New Roman" w:cs="Times New Roman"/>
          <w:sz w:val="27"/>
          <w:szCs w:val="27"/>
        </w:rPr>
        <w:t>0</w:t>
      </w:r>
      <w:r w:rsidR="00081E08" w:rsidRPr="000D332E">
        <w:rPr>
          <w:rFonts w:ascii="Times New Roman" w:hAnsi="Times New Roman" w:cs="Times New Roman"/>
          <w:sz w:val="27"/>
          <w:szCs w:val="27"/>
        </w:rPr>
        <w:t>28</w:t>
      </w:r>
      <w:r w:rsidRPr="000D332E">
        <w:rPr>
          <w:rFonts w:ascii="Times New Roman" w:hAnsi="Times New Roman" w:cs="Times New Roman"/>
          <w:sz w:val="27"/>
          <w:szCs w:val="27"/>
        </w:rPr>
        <w:t xml:space="preserve"> </w:t>
      </w:r>
      <w:r w:rsidR="00081E08" w:rsidRPr="000D332E">
        <w:rPr>
          <w:rFonts w:ascii="Times New Roman" w:hAnsi="Times New Roman" w:cs="Times New Roman"/>
          <w:sz w:val="27"/>
          <w:szCs w:val="27"/>
        </w:rPr>
        <w:t>4</w:t>
      </w:r>
      <w:r w:rsidRPr="000D332E">
        <w:rPr>
          <w:rFonts w:ascii="Times New Roman" w:hAnsi="Times New Roman" w:cs="Times New Roman"/>
          <w:sz w:val="27"/>
          <w:szCs w:val="27"/>
        </w:rPr>
        <w:t>00 рублей.</w:t>
      </w:r>
    </w:p>
    <w:p w:rsidR="001469A5" w:rsidRPr="009347C0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910A94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9347C0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: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платы за негативное воздействие на окружающую среду,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lastRenderedPageBreak/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9347C0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267A38">
        <w:rPr>
          <w:rFonts w:ascii="Times New Roman" w:eastAsia="Calibri" w:hAnsi="Times New Roman" w:cs="Times New Roman"/>
          <w:sz w:val="27"/>
          <w:szCs w:val="27"/>
        </w:rPr>
        <w:t>5</w:t>
      </w:r>
      <w:r w:rsidRPr="00267A38">
        <w:rPr>
          <w:rFonts w:ascii="Times New Roman" w:eastAsia="Calibri" w:hAnsi="Times New Roman" w:cs="Times New Roman"/>
          <w:sz w:val="27"/>
          <w:szCs w:val="27"/>
        </w:rPr>
        <w:t>.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</w:t>
      </w:r>
      <w:r w:rsidR="00357203" w:rsidRPr="00267A38">
        <w:rPr>
          <w:rFonts w:ascii="Times New Roman" w:eastAsia="Calibri" w:hAnsi="Times New Roman" w:cs="Times New Roman"/>
          <w:sz w:val="27"/>
          <w:szCs w:val="27"/>
        </w:rPr>
        <w:t>сахаросодержащих напитков</w:t>
      </w:r>
      <w:r w:rsidR="00756404" w:rsidRPr="00267A38">
        <w:rPr>
          <w:rFonts w:ascii="Times New Roman" w:eastAsia="Calibri" w:hAnsi="Times New Roman" w:cs="Times New Roman"/>
          <w:sz w:val="27"/>
          <w:szCs w:val="27"/>
        </w:rPr>
        <w:t>)</w:t>
      </w:r>
      <w:r w:rsidR="00357203" w:rsidRPr="00267A38">
        <w:rPr>
          <w:rFonts w:ascii="Times New Roman" w:eastAsia="Calibri" w:hAnsi="Times New Roman" w:cs="Times New Roman"/>
          <w:sz w:val="27"/>
          <w:szCs w:val="27"/>
        </w:rPr>
        <w:t>,</w:t>
      </w:r>
      <w:r w:rsidR="0035720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>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="00756404">
        <w:rPr>
          <w:rFonts w:ascii="Times New Roman" w:eastAsia="Calibri" w:hAnsi="Times New Roman" w:cs="Times New Roman"/>
          <w:sz w:val="27"/>
          <w:szCs w:val="27"/>
        </w:rPr>
        <w:t>,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 в следующих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случаях:</w:t>
      </w:r>
    </w:p>
    <w:p w:rsidR="00191CB6" w:rsidRPr="009347C0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организации уличного, дворового освещения и иллюминации в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и иллюминации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Нефтеюганска);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4FBE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8A27A9" w:rsidRDefault="008A27A9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718" w:rsidRPr="00E8371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</w:t>
      </w:r>
      <w:r w:rsidR="00F12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7B3" w:rsidRDefault="00F127B3" w:rsidP="00F12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затрат, связанных с содержанием и обслуживанием модульных туалетов (включая текущий ремонт) на</w:t>
      </w:r>
      <w:r w:rsid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Нефтеюганска;</w:t>
      </w:r>
    </w:p>
    <w:p w:rsidR="007F6D4D" w:rsidRDefault="007F6D4D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12)</w:t>
      </w:r>
      <w:r w:rsidRP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P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8E3535" w:rsidRDefault="008E3535" w:rsidP="008E3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 w:rsidR="008E253F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в пункте 2.1 статьи 78 Бюджетного кодекса Российской Федерации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A1F98" w:rsidRPr="009347C0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9347C0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следующих случаях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осуществляющи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ориентированным некоммерческим организациям,</w:t>
      </w:r>
      <w:r w:rsidR="00840E9F" w:rsidRPr="009347C0">
        <w:rPr>
          <w:sz w:val="27"/>
          <w:szCs w:val="27"/>
        </w:rPr>
        <w:t xml:space="preserve">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E72376" w:rsidRDefault="003C21B3" w:rsidP="00E7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C21B3">
        <w:rPr>
          <w:rFonts w:ascii="Times New Roman" w:eastAsia="Calibri" w:hAnsi="Times New Roman" w:cs="Times New Roman"/>
          <w:sz w:val="27"/>
          <w:szCs w:val="27"/>
        </w:rPr>
        <w:t>7</w:t>
      </w:r>
      <w:r w:rsidR="00E72376" w:rsidRPr="003C21B3">
        <w:rPr>
          <w:rFonts w:ascii="Times New Roman" w:eastAsia="Calibri" w:hAnsi="Times New Roman" w:cs="Times New Roman"/>
          <w:sz w:val="27"/>
          <w:szCs w:val="27"/>
        </w:rPr>
        <w:t>)на</w:t>
      </w:r>
      <w:proofErr w:type="gramEnd"/>
      <w:r w:rsidR="00E72376" w:rsidRPr="003C21B3">
        <w:rPr>
          <w:rFonts w:ascii="Times New Roman" w:eastAsia="Calibri" w:hAnsi="Times New Roman" w:cs="Times New Roman"/>
          <w:sz w:val="27"/>
          <w:szCs w:val="27"/>
        </w:rPr>
        <w:t xml:space="preserve"> оказание</w:t>
      </w:r>
      <w:r w:rsidR="00E72376" w:rsidRPr="006439C8">
        <w:rPr>
          <w:rFonts w:ascii="Times New Roman" w:eastAsia="Calibri" w:hAnsi="Times New Roman" w:cs="Times New Roman"/>
          <w:sz w:val="27"/>
          <w:szCs w:val="27"/>
        </w:rPr>
        <w:t xml:space="preserve">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культуры.</w:t>
      </w:r>
    </w:p>
    <w:p w:rsidR="00381B6F" w:rsidRPr="00357203" w:rsidRDefault="008126CF" w:rsidP="00381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81B6F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 w:rsidR="00225670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юджетного кодекса Российской Федерации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9347C0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</w:t>
      </w:r>
      <w:r w:rsidR="00D85A24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бюджетным и автономным учреждениям на иные цели:</w:t>
      </w:r>
    </w:p>
    <w:p w:rsidR="00572DA8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72DA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6707A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образовательных организаций;</w:t>
      </w:r>
    </w:p>
    <w:p w:rsidR="0009245E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государственную поддержку организаций, входящих в систему спортивной подготовки</w:t>
      </w:r>
      <w:r w:rsidR="0009245E" w:rsidRPr="009347C0">
        <w:rPr>
          <w:sz w:val="27"/>
          <w:szCs w:val="27"/>
        </w:rPr>
        <w:t xml:space="preserve"> </w:t>
      </w:r>
      <w:r w:rsidR="0009245E" w:rsidRPr="009347C0">
        <w:rPr>
          <w:rFonts w:ascii="Times New Roman" w:hAnsi="Times New Roman" w:cs="Times New Roman"/>
          <w:sz w:val="27"/>
          <w:szCs w:val="27"/>
        </w:rPr>
        <w:t xml:space="preserve">за 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 средств местного бюджета, бюджета автономного округа и федерального бюджета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A42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2024 год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1BF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2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62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8A27A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BF6CA5" w:rsidRPr="00073927" w:rsidRDefault="00BF6CA5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Default="002D06E2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hAnsi="Times New Roman" w:cs="Times New Roman"/>
          <w:sz w:val="28"/>
          <w:szCs w:val="28"/>
        </w:rPr>
        <w:t>18</w:t>
      </w:r>
      <w:r w:rsidR="003719AF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05F7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r w:rsidR="006A05F7"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 w:rsidR="006A0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B6F" w:rsidRPr="00073927" w:rsidRDefault="00381B6F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</w:t>
      </w:r>
      <w:r w:rsidR="00B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B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принятыми в соответствии с ним иными нормативными правовыми актами Российской </w:t>
      </w:r>
      <w:r w:rsidR="00440CD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bookmarkEnd w:id="0"/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05F7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752" w:rsidRPr="00D53C5E" w:rsidRDefault="001E469A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AC275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 порядок предоставления муниципальной преференции: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1)муниципальная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преференция может быть предоставлена в соответствии с целями, определенными статьей 19 Федерального закона от 26.07.2006 № 135-ФЗ «О защите конкуренции»;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2)получатели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муниципальной преференции устанавливаются настоящим решением Думы</w:t>
      </w:r>
      <w:r w:rsidR="004C4DF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3)порядок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определения размера муниципальной преференции устанавливается отдельным решением Думы города Нефтеюганска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D06E2" w:rsidRDefault="001E469A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.В соответствии </w:t>
      </w:r>
      <w:r w:rsidR="002D06E2"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пунктом </w:t>
      </w:r>
      <w:r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решения определить предоставление муниципальной преференции 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форме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субсидии из бюджета </w:t>
      </w:r>
      <w:r w:rsidR="00FB5E7A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города Нефтеюганска 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финансовое обеспечение затрат ООО «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Спецкомунсервис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Нефтеюганский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правая сторона 24 км автодороги Нефтеюганск – 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Пыть-Ях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2024 году</w:t>
      </w:r>
      <w:r w:rsidR="008823F1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размере 16 000 000 рублей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67A38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со статьей 78 Бюджетного кодекса Российской Федерации.</w:t>
      </w:r>
    </w:p>
    <w:p w:rsidR="000A5553" w:rsidRPr="009347C0" w:rsidRDefault="008823F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.Утвердить программу муниципальных </w:t>
      </w:r>
      <w:r w:rsidR="000B4A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9347C0" w:rsidRDefault="008823F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9347C0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д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№633-V.</w:t>
      </w:r>
    </w:p>
    <w:p w:rsidR="00AF1430" w:rsidRPr="009347C0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1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решения Думы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 от 25.09.2013 №</w:t>
      </w:r>
      <w:r w:rsidR="002D06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633-V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9347C0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1)изменение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9347C0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9347C0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за счет средств местного бюджета по разделам, подразделам, целевым статьям, видам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расходов, предоставляемых из бюджетов других уровней;</w:t>
      </w:r>
    </w:p>
    <w:p w:rsidR="005C2F17" w:rsidRPr="009347C0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</w:t>
      </w:r>
      <w:r w:rsidR="00477F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нений в муниципальные программы;</w:t>
      </w:r>
    </w:p>
    <w:p w:rsidR="00477FF8" w:rsidRDefault="00477FF8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 открываемых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2A3A2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.Учет операций со средствами получателей средств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бюджета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9347C0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03337" w:rsidRPr="009347C0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в 202</w:t>
      </w:r>
      <w:r w:rsidR="003362F2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B5E0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д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 осуществляет казначейское сопровождение средств,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указанных в пункте </w:t>
      </w:r>
      <w:r w:rsidR="006559B5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5B4F71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настоящей статьи, предоставляемых из бюджета города.</w:t>
      </w:r>
    </w:p>
    <w:p w:rsidR="00803337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.Казначейскому сопровождению подлежат: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ицевые счета которым открыты в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участника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 казначейского сопровождения,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лучаях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кодекса Российской Федерации);</w:t>
      </w:r>
    </w:p>
    <w:p w:rsidR="000010B1" w:rsidRDefault="004B71D9" w:rsidP="00001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2A6FA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</w:t>
      </w:r>
      <w:proofErr w:type="gramEnd"/>
      <w:r w:rsidR="002A6F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средства, </w:t>
      </w:r>
      <w:r w:rsid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ленны</w:t>
      </w:r>
      <w:r w:rsidR="002A6FA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администрацией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.Опубликовать решение в газете «Здравствуйте,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нефтеюганцы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!» </w:t>
      </w:r>
      <w:r w:rsidRPr="009347C0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.Решение вступает в силу с 1 января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proofErr w:type="spellEnd"/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М.М.Миннигулов</w:t>
      </w:r>
      <w:proofErr w:type="spellEnd"/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  <w:r w:rsidR="008D04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9347C0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</w:p>
    <w:sectPr w:rsidR="002630F9" w:rsidRPr="009347C0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CD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5805"/>
    <w:rsid w:val="00066C47"/>
    <w:rsid w:val="0006707A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56FF"/>
    <w:rsid w:val="000C7017"/>
    <w:rsid w:val="000D18C5"/>
    <w:rsid w:val="000D332E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5405"/>
    <w:rsid w:val="003C6AE5"/>
    <w:rsid w:val="003D15CB"/>
    <w:rsid w:val="003F0915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7E22"/>
    <w:rsid w:val="006B25F1"/>
    <w:rsid w:val="006B3F24"/>
    <w:rsid w:val="006B58D1"/>
    <w:rsid w:val="006C0BEF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F45"/>
    <w:rsid w:val="009900C3"/>
    <w:rsid w:val="009932C9"/>
    <w:rsid w:val="009945D9"/>
    <w:rsid w:val="00995319"/>
    <w:rsid w:val="00997D14"/>
    <w:rsid w:val="009A1EE3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3443C"/>
    <w:rsid w:val="00A37B94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F05"/>
    <w:rsid w:val="00BA6238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14908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D51"/>
    <w:rsid w:val="00C63DE9"/>
    <w:rsid w:val="00C71C41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2734B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D9F36-3D3E-4B3A-ACE6-9B141ABC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4532</TotalTime>
  <Pages>9</Pages>
  <Words>3536</Words>
  <Characters>20158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335</cp:revision>
  <cp:lastPrinted>2023-12-13T05:02:00Z</cp:lastPrinted>
  <dcterms:created xsi:type="dcterms:W3CDTF">2019-01-30T05:23:00Z</dcterms:created>
  <dcterms:modified xsi:type="dcterms:W3CDTF">2023-12-13T05:05:00Z</dcterms:modified>
</cp:coreProperties>
</file>