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871984">
        <w:rPr>
          <w:b/>
          <w:sz w:val="28"/>
          <w:szCs w:val="28"/>
        </w:rPr>
        <w:t>О реализации национальн</w:t>
      </w:r>
      <w:r>
        <w:rPr>
          <w:b/>
          <w:sz w:val="28"/>
          <w:szCs w:val="28"/>
        </w:rPr>
        <w:t>ого  проекта</w:t>
      </w:r>
      <w:r w:rsidRPr="00871984">
        <w:rPr>
          <w:b/>
          <w:sz w:val="28"/>
          <w:szCs w:val="28"/>
        </w:rPr>
        <w:t xml:space="preserve"> «Образование» </w:t>
      </w:r>
      <w:r w:rsidR="0090544A">
        <w:rPr>
          <w:b/>
          <w:sz w:val="28"/>
          <w:szCs w:val="28"/>
        </w:rPr>
        <w:t>на 01.0</w:t>
      </w:r>
      <w:r w:rsidR="00C760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</w:t>
      </w:r>
    </w:p>
    <w:p w:rsidR="00E81F51" w:rsidRDefault="00E81F51" w:rsidP="00E81F5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E81F51" w:rsidRPr="006962C0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</w:t>
      </w:r>
      <w:r>
        <w:rPr>
          <w:rFonts w:eastAsia="Calibri"/>
          <w:sz w:val="28"/>
          <w:szCs w:val="28"/>
          <w:lang w:eastAsia="en-US"/>
        </w:rPr>
        <w:t>ации региональной составляющей 6</w:t>
      </w:r>
      <w:r w:rsidRPr="006962C0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E81F51" w:rsidRPr="002A7574" w:rsidRDefault="00E81F51" w:rsidP="00E81F5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Pr="002A7574">
        <w:rPr>
          <w:rFonts w:eastAsia="Calibri"/>
          <w:bCs/>
          <w:sz w:val="28"/>
          <w:szCs w:val="28"/>
        </w:rPr>
        <w:t xml:space="preserve"> 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МБОУ «Начальная школа № 15», МБОУ «СОШ № 3</w:t>
      </w:r>
      <w:proofErr w:type="gramEnd"/>
      <w:r w:rsidRPr="00C77572">
        <w:rPr>
          <w:sz w:val="28"/>
          <w:szCs w:val="28"/>
        </w:rPr>
        <w:t xml:space="preserve"> </w:t>
      </w:r>
      <w:proofErr w:type="spellStart"/>
      <w:r w:rsidRPr="00C77572">
        <w:rPr>
          <w:sz w:val="28"/>
          <w:szCs w:val="28"/>
        </w:rPr>
        <w:t>им.А.А.Ивасенко</w:t>
      </w:r>
      <w:proofErr w:type="spellEnd"/>
      <w:r w:rsidRPr="00C77572">
        <w:rPr>
          <w:sz w:val="28"/>
          <w:szCs w:val="28"/>
        </w:rPr>
        <w:t>», МБОУ «СОКШ № 4».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2A7574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81F51" w:rsidRPr="002A7574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453992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 городской совет родителей, </w:t>
      </w:r>
      <w:r>
        <w:rPr>
          <w:sz w:val="28"/>
          <w:szCs w:val="28"/>
        </w:rPr>
        <w:t xml:space="preserve">работа которого осуществляется по трём направлениям: </w:t>
      </w:r>
      <w:r>
        <w:rPr>
          <w:bCs/>
          <w:sz w:val="28"/>
          <w:szCs w:val="28"/>
        </w:rPr>
        <w:t>по</w:t>
      </w:r>
      <w:r w:rsidRPr="00DF7953">
        <w:rPr>
          <w:bCs/>
          <w:sz w:val="28"/>
          <w:szCs w:val="28"/>
        </w:rPr>
        <w:t xml:space="preserve"> вопросам дошкольного образования</w:t>
      </w:r>
      <w:r>
        <w:rPr>
          <w:bCs/>
          <w:sz w:val="28"/>
          <w:szCs w:val="28"/>
        </w:rPr>
        <w:t>,</w:t>
      </w:r>
      <w:r w:rsidRPr="00DF7953">
        <w:rPr>
          <w:bCs/>
          <w:sz w:val="28"/>
          <w:szCs w:val="28"/>
        </w:rPr>
        <w:t xml:space="preserve"> общего и дополнительного образования</w:t>
      </w:r>
      <w:r>
        <w:rPr>
          <w:bCs/>
          <w:sz w:val="28"/>
          <w:szCs w:val="28"/>
        </w:rPr>
        <w:t>, работе с детьми</w:t>
      </w:r>
      <w:r w:rsidRPr="00DF7953">
        <w:rPr>
          <w:bCs/>
          <w:sz w:val="28"/>
          <w:szCs w:val="28"/>
        </w:rPr>
        <w:t xml:space="preserve">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>
        <w:rPr>
          <w:sz w:val="28"/>
          <w:szCs w:val="28"/>
        </w:rPr>
        <w:t>овершенствованию</w:t>
      </w:r>
      <w:r w:rsidRPr="00453992">
        <w:rPr>
          <w:sz w:val="28"/>
          <w:szCs w:val="28"/>
        </w:rPr>
        <w:t xml:space="preserve"> условий для осуществления образовательного процесса, ох</w:t>
      </w:r>
      <w:r w:rsidR="000423B2">
        <w:rPr>
          <w:sz w:val="28"/>
          <w:szCs w:val="28"/>
        </w:rPr>
        <w:t xml:space="preserve">раны жизни и здоровья </w:t>
      </w:r>
      <w:r w:rsidRPr="00453992">
        <w:rPr>
          <w:sz w:val="28"/>
          <w:szCs w:val="28"/>
        </w:rPr>
        <w:t>учащихс</w:t>
      </w:r>
      <w:r>
        <w:rPr>
          <w:sz w:val="28"/>
          <w:szCs w:val="28"/>
        </w:rPr>
        <w:t xml:space="preserve">я, свободного развития личности, </w:t>
      </w:r>
      <w:r w:rsidRPr="00453992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проектов локальных актов, зат</w:t>
      </w:r>
      <w:r w:rsidR="000423B2">
        <w:rPr>
          <w:sz w:val="28"/>
          <w:szCs w:val="28"/>
        </w:rPr>
        <w:t xml:space="preserve">рагивающих интересы </w:t>
      </w:r>
      <w:r>
        <w:rPr>
          <w:sz w:val="28"/>
          <w:szCs w:val="28"/>
        </w:rPr>
        <w:t xml:space="preserve">учащихся, </w:t>
      </w:r>
      <w:r w:rsidRPr="0045399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453992">
        <w:rPr>
          <w:sz w:val="28"/>
          <w:szCs w:val="28"/>
        </w:rPr>
        <w:t xml:space="preserve"> позитивного опыта семейного и общественного в</w:t>
      </w:r>
      <w:r>
        <w:rPr>
          <w:sz w:val="28"/>
          <w:szCs w:val="28"/>
        </w:rPr>
        <w:t>оспитания в городе Нефтеюганске, формированию</w:t>
      </w:r>
      <w:r w:rsidRPr="00453992">
        <w:rPr>
          <w:sz w:val="28"/>
          <w:szCs w:val="28"/>
        </w:rPr>
        <w:t xml:space="preserve">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C760ED">
        <w:rPr>
          <w:bCs/>
          <w:iCs/>
          <w:sz w:val="28"/>
          <w:szCs w:val="28"/>
        </w:rPr>
        <w:t>8</w:t>
      </w:r>
      <w:r w:rsidR="0090544A">
        <w:rPr>
          <w:bCs/>
          <w:iCs/>
          <w:sz w:val="28"/>
          <w:szCs w:val="28"/>
        </w:rPr>
        <w:t>.2023 4</w:t>
      </w:r>
      <w:r w:rsidR="006D3A64">
        <w:rPr>
          <w:bCs/>
          <w:iCs/>
          <w:sz w:val="28"/>
          <w:szCs w:val="28"/>
        </w:rPr>
        <w:t>6</w:t>
      </w:r>
      <w:r w:rsidRPr="002A7574">
        <w:rPr>
          <w:bCs/>
          <w:iCs/>
          <w:sz w:val="28"/>
          <w:szCs w:val="28"/>
        </w:rPr>
        <w:t>% педагогических работников общеобразовательных организаций п</w:t>
      </w:r>
      <w:r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план 2023 г.</w:t>
      </w:r>
      <w:r w:rsidR="00603913">
        <w:rPr>
          <w:rFonts w:eastAsia="Calibri"/>
          <w:sz w:val="28"/>
          <w:szCs w:val="28"/>
          <w:lang w:eastAsia="en-US"/>
        </w:rPr>
        <w:t xml:space="preserve"> – 46,4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</w:t>
      </w:r>
      <w:r w:rsidRPr="002A7574">
        <w:rPr>
          <w:bCs/>
          <w:iCs/>
          <w:sz w:val="28"/>
          <w:szCs w:val="28"/>
        </w:rPr>
        <w:lastRenderedPageBreak/>
        <w:t xml:space="preserve">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6D3A64" w:rsidRDefault="006D3A64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Результат: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>призёр регионального этапа</w:t>
      </w:r>
      <w:r w:rsidRPr="00BF0362">
        <w:rPr>
          <w:sz w:val="28"/>
          <w:szCs w:val="28"/>
        </w:rPr>
        <w:t xml:space="preserve"> Всероссийской профессиональной олимпиады для учителей «ДНК-науки» (физика, химия, биология) </w:t>
      </w:r>
      <w:r>
        <w:rPr>
          <w:sz w:val="28"/>
          <w:szCs w:val="28"/>
        </w:rPr>
        <w:t>(</w:t>
      </w:r>
      <w:r w:rsidRPr="00BF0362">
        <w:rPr>
          <w:sz w:val="28"/>
          <w:szCs w:val="28"/>
        </w:rPr>
        <w:t xml:space="preserve">учитель физики МБОУ «СОШ № 2 </w:t>
      </w:r>
      <w:proofErr w:type="spellStart"/>
      <w:r w:rsidRPr="00BF0362">
        <w:rPr>
          <w:sz w:val="28"/>
          <w:szCs w:val="28"/>
        </w:rPr>
        <w:t>им.А.И.Исаевой</w:t>
      </w:r>
      <w:proofErr w:type="spellEnd"/>
      <w:r w:rsidRPr="00BF036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BF0362">
        <w:rPr>
          <w:sz w:val="28"/>
          <w:szCs w:val="28"/>
        </w:rPr>
        <w:t>;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 xml:space="preserve">призёр </w:t>
      </w:r>
      <w:r w:rsidRPr="00BF0362">
        <w:rPr>
          <w:sz w:val="28"/>
          <w:szCs w:val="28"/>
        </w:rPr>
        <w:t>регионально</w:t>
      </w:r>
      <w:r>
        <w:rPr>
          <w:sz w:val="28"/>
          <w:szCs w:val="28"/>
        </w:rPr>
        <w:t>го конкурса</w:t>
      </w:r>
      <w:r w:rsidRPr="00BF0362">
        <w:rPr>
          <w:sz w:val="28"/>
          <w:szCs w:val="28"/>
        </w:rPr>
        <w:t xml:space="preserve"> на лучшую акцию в формате </w:t>
      </w:r>
      <w:proofErr w:type="spellStart"/>
      <w:r w:rsidRPr="00BF0362">
        <w:rPr>
          <w:sz w:val="28"/>
          <w:szCs w:val="28"/>
        </w:rPr>
        <w:t>флешмоба</w:t>
      </w:r>
      <w:proofErr w:type="spellEnd"/>
      <w:r w:rsidRPr="00BF0362">
        <w:rPr>
          <w:sz w:val="28"/>
          <w:szCs w:val="28"/>
        </w:rPr>
        <w:t xml:space="preserve"> просветительской акции для молодых педагогов Ханты-Мансийского автономного </w:t>
      </w:r>
      <w:proofErr w:type="spellStart"/>
      <w:r w:rsidRPr="00BF0362">
        <w:rPr>
          <w:sz w:val="28"/>
          <w:szCs w:val="28"/>
        </w:rPr>
        <w:t>округа-Югры</w:t>
      </w:r>
      <w:proofErr w:type="spellEnd"/>
      <w:r w:rsidRPr="00BF0362">
        <w:rPr>
          <w:sz w:val="28"/>
          <w:szCs w:val="28"/>
        </w:rPr>
        <w:t xml:space="preserve"> «Вектор наставничества: от идеи до реализации» </w:t>
      </w:r>
      <w:r>
        <w:rPr>
          <w:sz w:val="28"/>
          <w:szCs w:val="28"/>
        </w:rPr>
        <w:t>(</w:t>
      </w:r>
      <w:r w:rsidRPr="00BF0362">
        <w:rPr>
          <w:sz w:val="28"/>
          <w:szCs w:val="28"/>
        </w:rPr>
        <w:t>МБОУ «СОШ №14»);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 xml:space="preserve">победитель Всероссийского </w:t>
      </w:r>
      <w:r w:rsidRPr="00BF036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BF0362">
        <w:rPr>
          <w:sz w:val="28"/>
          <w:szCs w:val="28"/>
        </w:rPr>
        <w:t xml:space="preserve"> «Лучшие педагогические практики», реализуемом Институтом гуманитарного образования и информационных технологий при поддержке Комитета по науке, образованию и культуре Совета Федерации Федерального Собрания РФ (педагог МБОУ «СОШ №5 «Многопрофильная»).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>
        <w:rPr>
          <w:rFonts w:eastAsia="Calibri"/>
          <w:sz w:val="28"/>
          <w:szCs w:val="28"/>
          <w:lang w:eastAsia="en-US"/>
        </w:rPr>
        <w:t>. На 01.0</w:t>
      </w:r>
      <w:r w:rsidR="00C760E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.2023 исполнение у</w:t>
      </w:r>
      <w:r w:rsidR="00603913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342EBC">
        <w:rPr>
          <w:rFonts w:eastAsia="Calibri"/>
          <w:sz w:val="28"/>
          <w:szCs w:val="28"/>
          <w:lang w:eastAsia="en-US"/>
        </w:rPr>
        <w:t>82,5</w:t>
      </w:r>
      <w:r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>
        <w:rPr>
          <w:rFonts w:eastAsia="Calibri"/>
          <w:sz w:val="28"/>
          <w:szCs w:val="28"/>
          <w:lang w:eastAsia="en-US"/>
        </w:rPr>
        <w:t xml:space="preserve"> </w:t>
      </w:r>
      <w:r w:rsidR="0090544A">
        <w:rPr>
          <w:rFonts w:eastAsia="Calibri"/>
          <w:sz w:val="28"/>
          <w:szCs w:val="28"/>
          <w:lang w:eastAsia="en-US"/>
        </w:rPr>
        <w:t>дополнительного образования: 1</w:t>
      </w:r>
      <w:r w:rsidR="00610257">
        <w:rPr>
          <w:rFonts w:eastAsia="Calibri"/>
          <w:sz w:val="28"/>
          <w:szCs w:val="28"/>
          <w:lang w:eastAsia="en-US"/>
        </w:rPr>
        <w:t>5,6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>
        <w:rPr>
          <w:rFonts w:eastAsia="Calibri"/>
          <w:sz w:val="28"/>
          <w:szCs w:val="28"/>
          <w:lang w:eastAsia="en-US"/>
        </w:rPr>
        <w:t>льного образования находитс</w:t>
      </w:r>
      <w:r w:rsidR="00610257">
        <w:rPr>
          <w:rFonts w:eastAsia="Calibri"/>
          <w:sz w:val="28"/>
          <w:szCs w:val="28"/>
          <w:lang w:eastAsia="en-US"/>
        </w:rPr>
        <w:t>я 438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реализации п</w:t>
      </w:r>
      <w:r w:rsidR="00610257">
        <w:rPr>
          <w:rFonts w:eastAsia="Calibri"/>
          <w:sz w:val="28"/>
          <w:szCs w:val="28"/>
          <w:lang w:eastAsia="en-US"/>
        </w:rPr>
        <w:t>роекта в 2024 году не менее 25,4</w:t>
      </w:r>
      <w:r w:rsidRPr="006C65B9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</w:t>
      </w:r>
      <w:r w:rsidRPr="006C65B9">
        <w:rPr>
          <w:rFonts w:eastAsia="Calibri"/>
          <w:sz w:val="28"/>
          <w:szCs w:val="28"/>
          <w:lang w:eastAsia="en-US"/>
        </w:rPr>
        <w:lastRenderedPageBreak/>
        <w:t>способностей и талантов у детей и молодежи. На 01.0</w:t>
      </w:r>
      <w:r w:rsidR="00C760ED">
        <w:rPr>
          <w:rFonts w:eastAsia="Calibri"/>
          <w:sz w:val="28"/>
          <w:szCs w:val="28"/>
          <w:lang w:eastAsia="en-US"/>
        </w:rPr>
        <w:t>8</w:t>
      </w:r>
      <w:r w:rsidRPr="006C65B9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610257">
        <w:rPr>
          <w:rFonts w:eastAsia="Calibri"/>
          <w:sz w:val="28"/>
          <w:szCs w:val="28"/>
          <w:lang w:eastAsia="en-US"/>
        </w:rPr>
        <w:t>13,4</w:t>
      </w:r>
      <w:r w:rsidRPr="006C65B9">
        <w:rPr>
          <w:rFonts w:eastAsia="Calibri"/>
          <w:sz w:val="28"/>
          <w:szCs w:val="28"/>
          <w:lang w:eastAsia="en-US"/>
        </w:rPr>
        <w:t>% (план 2023 г. – 25,4%).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>
        <w:rPr>
          <w:rFonts w:eastAsia="Calibri"/>
          <w:sz w:val="28"/>
          <w:szCs w:val="28"/>
          <w:lang w:eastAsia="en-US"/>
        </w:rPr>
        <w:t xml:space="preserve">. Реализация указанных мероприятий начинается с марта 2023 г. </w:t>
      </w:r>
      <w:r w:rsidR="0090544A">
        <w:rPr>
          <w:rFonts w:eastAsia="Calibri"/>
          <w:sz w:val="28"/>
          <w:szCs w:val="28"/>
          <w:lang w:eastAsia="en-US"/>
        </w:rPr>
        <w:t>и на 01.0</w:t>
      </w:r>
      <w:r w:rsidR="00C760ED">
        <w:rPr>
          <w:rFonts w:eastAsia="Calibri"/>
          <w:sz w:val="28"/>
          <w:szCs w:val="28"/>
          <w:lang w:eastAsia="en-US"/>
        </w:rPr>
        <w:t>8</w:t>
      </w:r>
      <w:r w:rsidR="00603913">
        <w:rPr>
          <w:rFonts w:eastAsia="Calibri"/>
          <w:sz w:val="28"/>
          <w:szCs w:val="28"/>
          <w:lang w:eastAsia="en-US"/>
        </w:rPr>
        <w:t xml:space="preserve">.2023 составила </w:t>
      </w:r>
      <w:r w:rsidR="00610257">
        <w:rPr>
          <w:rFonts w:eastAsia="Calibri"/>
          <w:sz w:val="28"/>
          <w:szCs w:val="28"/>
          <w:lang w:eastAsia="en-US"/>
        </w:rPr>
        <w:t>12</w:t>
      </w:r>
      <w:r w:rsidR="00603913">
        <w:rPr>
          <w:rFonts w:eastAsia="Calibri"/>
          <w:sz w:val="28"/>
          <w:szCs w:val="28"/>
          <w:lang w:eastAsia="en-US"/>
        </w:rPr>
        <w:t xml:space="preserve">% </w:t>
      </w:r>
      <w:r>
        <w:rPr>
          <w:rFonts w:eastAsia="Calibri"/>
          <w:sz w:val="28"/>
          <w:szCs w:val="28"/>
          <w:lang w:eastAsia="en-US"/>
        </w:rPr>
        <w:t>(план 2023</w:t>
      </w:r>
      <w:r w:rsidRPr="002A7574">
        <w:rPr>
          <w:rFonts w:eastAsia="Calibri"/>
          <w:sz w:val="28"/>
          <w:szCs w:val="28"/>
          <w:lang w:eastAsia="en-US"/>
        </w:rPr>
        <w:t xml:space="preserve"> г. – 3</w:t>
      </w:r>
      <w:r>
        <w:rPr>
          <w:rFonts w:eastAsia="Calibri"/>
          <w:sz w:val="28"/>
          <w:szCs w:val="28"/>
          <w:lang w:eastAsia="en-US"/>
        </w:rPr>
        <w:t>0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C605D6" w:rsidRDefault="00E81F51" w:rsidP="00C605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C605D6" w:rsidRPr="00BF0362" w:rsidRDefault="00E81F51" w:rsidP="00C605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</w:t>
      </w:r>
      <w:r w:rsidR="00C605D6">
        <w:rPr>
          <w:bCs/>
          <w:iCs/>
          <w:sz w:val="28"/>
          <w:szCs w:val="28"/>
        </w:rPr>
        <w:t>5</w:t>
      </w:r>
      <w:r w:rsidRPr="002A7574">
        <w:rPr>
          <w:bCs/>
          <w:iCs/>
          <w:sz w:val="28"/>
          <w:szCs w:val="28"/>
        </w:rPr>
        <w:t xml:space="preserve"> дошкольных образовательных организаций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</w:t>
      </w:r>
      <w:proofErr w:type="gramStart"/>
      <w:r w:rsidR="00C605D6" w:rsidRPr="00BF0362">
        <w:rPr>
          <w:sz w:val="28"/>
          <w:szCs w:val="28"/>
        </w:rPr>
        <w:t xml:space="preserve">2 </w:t>
      </w:r>
      <w:r w:rsidR="00C605D6">
        <w:rPr>
          <w:sz w:val="28"/>
          <w:szCs w:val="28"/>
        </w:rPr>
        <w:t xml:space="preserve">- </w:t>
      </w:r>
      <w:r w:rsidR="00C605D6" w:rsidRPr="00BF0362">
        <w:rPr>
          <w:sz w:val="28"/>
          <w:szCs w:val="28"/>
        </w:rPr>
        <w:t>инновационные площадки федерального уровня АНО ДПО «НИИ дошкольного образования «Воспитатели России»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t xml:space="preserve"> - 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модель патриотического воспитания, 1 </w:t>
      </w:r>
      <w:r w:rsidR="00C605D6">
        <w:rPr>
          <w:rFonts w:eastAsiaTheme="minorHAnsi"/>
          <w:bCs/>
          <w:iCs/>
          <w:sz w:val="28"/>
          <w:szCs w:val="28"/>
          <w:lang w:eastAsia="en-US"/>
        </w:rPr>
        <w:t>-</w:t>
      </w:r>
      <w:r w:rsidR="002360A3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t>инновационная площадка</w:t>
      </w:r>
      <w:r w:rsidR="00C605D6" w:rsidRPr="00BF0362">
        <w:rPr>
          <w:bCs/>
          <w:iCs/>
          <w:sz w:val="28"/>
          <w:szCs w:val="28"/>
        </w:rPr>
        <w:t xml:space="preserve"> </w:t>
      </w:r>
      <w:r w:rsidR="00C605D6">
        <w:rPr>
          <w:sz w:val="28"/>
          <w:szCs w:val="28"/>
        </w:rPr>
        <w:t>ФГБУ</w:t>
      </w:r>
      <w:r w:rsidR="00C605D6" w:rsidRPr="00BF0362">
        <w:rPr>
          <w:sz w:val="28"/>
          <w:szCs w:val="28"/>
        </w:rPr>
        <w:t xml:space="preserve"> «Институт изучения детства, семьи и воспитания», 1 </w:t>
      </w:r>
      <w:r w:rsidR="00C605D6">
        <w:rPr>
          <w:sz w:val="28"/>
          <w:szCs w:val="28"/>
        </w:rPr>
        <w:t xml:space="preserve">- </w:t>
      </w:r>
      <w:r w:rsidR="00C605D6" w:rsidRPr="00BF0362">
        <w:rPr>
          <w:sz w:val="28"/>
          <w:szCs w:val="28"/>
        </w:rPr>
        <w:t xml:space="preserve">инновационная площадка участника </w:t>
      </w:r>
      <w:r w:rsidR="00C605D6" w:rsidRPr="00BF0362">
        <w:rPr>
          <w:sz w:val="28"/>
          <w:szCs w:val="28"/>
          <w:lang w:val="en-US"/>
        </w:rPr>
        <w:t>IT</w:t>
      </w:r>
      <w:r w:rsidR="00C605D6" w:rsidRPr="00BF0362">
        <w:rPr>
          <w:sz w:val="28"/>
          <w:szCs w:val="28"/>
        </w:rPr>
        <w:t>-кластера инновационного центра «</w:t>
      </w:r>
      <w:proofErr w:type="spellStart"/>
      <w:r w:rsidR="00C605D6" w:rsidRPr="00BF0362">
        <w:rPr>
          <w:sz w:val="28"/>
          <w:szCs w:val="28"/>
        </w:rPr>
        <w:t>Сколково</w:t>
      </w:r>
      <w:proofErr w:type="spellEnd"/>
      <w:r w:rsidR="00C605D6" w:rsidRPr="00BF0362">
        <w:rPr>
          <w:sz w:val="28"/>
          <w:szCs w:val="28"/>
        </w:rPr>
        <w:t>» «Мобильное Электронное Образование федерального значения», 1</w:t>
      </w:r>
      <w:r w:rsidR="00C605D6">
        <w:rPr>
          <w:sz w:val="28"/>
          <w:szCs w:val="28"/>
        </w:rPr>
        <w:t xml:space="preserve"> - </w:t>
      </w:r>
      <w:r w:rsidR="00C605D6" w:rsidRPr="00BF0362">
        <w:rPr>
          <w:sz w:val="28"/>
          <w:szCs w:val="28"/>
        </w:rPr>
        <w:t xml:space="preserve">участник </w:t>
      </w:r>
      <w:proofErr w:type="spellStart"/>
      <w:r w:rsidR="00C605D6" w:rsidRPr="00BF0362">
        <w:rPr>
          <w:sz w:val="28"/>
          <w:szCs w:val="28"/>
        </w:rPr>
        <w:t>пилотной</w:t>
      </w:r>
      <w:proofErr w:type="spellEnd"/>
      <w:r w:rsidR="00C605D6" w:rsidRPr="00BF0362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деятельности.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 сайтов дошкольных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</w:t>
      </w:r>
      <w:r w:rsidRPr="00B15442">
        <w:rPr>
          <w:sz w:val="28"/>
          <w:szCs w:val="28"/>
        </w:rPr>
        <w:lastRenderedPageBreak/>
        <w:t xml:space="preserve">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Достигнуты фактические</w:t>
      </w:r>
      <w:r w:rsidRPr="00BF0362">
        <w:rPr>
          <w:i/>
          <w:iCs/>
          <w:sz w:val="28"/>
          <w:szCs w:val="28"/>
        </w:rPr>
        <w:t xml:space="preserve"> </w:t>
      </w:r>
      <w:r w:rsidRPr="00BF036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</w:t>
      </w:r>
      <w:r w:rsidR="00C760ED">
        <w:rPr>
          <w:sz w:val="28"/>
          <w:szCs w:val="28"/>
        </w:rPr>
        <w:t>8</w:t>
      </w:r>
      <w:r w:rsidRPr="00BF0362">
        <w:rPr>
          <w:sz w:val="28"/>
          <w:szCs w:val="28"/>
        </w:rPr>
        <w:t>.2023: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общеобразовательных организаций, оснащенных в целях</w:t>
      </w:r>
      <w:r w:rsidRPr="00BF0362">
        <w:rPr>
          <w:i/>
          <w:iCs/>
          <w:sz w:val="28"/>
          <w:szCs w:val="28"/>
        </w:rPr>
        <w:t> </w:t>
      </w:r>
      <w:r w:rsidRPr="00BF0362">
        <w:rPr>
          <w:sz w:val="28"/>
          <w:szCs w:val="28"/>
        </w:rPr>
        <w:t>внедрения цифровой образовательной среды – 86,66% (план 2023 г. – 81,25%);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F0362">
        <w:rPr>
          <w:sz w:val="28"/>
          <w:szCs w:val="28"/>
        </w:rPr>
        <w:t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54% (план 2023 г.-        55%);</w:t>
      </w:r>
      <w:proofErr w:type="gramEnd"/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педагогических работников, использующих сервисы федеральной информационно-сервисной платформы цифровой образовательной среды - 60% (план 2023 г. – 75%);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– 100%).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BF0362">
        <w:rPr>
          <w:sz w:val="28"/>
          <w:szCs w:val="28"/>
          <w:lang w:bidi="hi-IN"/>
        </w:rPr>
        <w:lastRenderedPageBreak/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BF0362">
        <w:t xml:space="preserve"> 210 </w:t>
      </w:r>
      <w:r w:rsidRPr="00BF0362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2A7574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2A7574">
        <w:rPr>
          <w:rFonts w:eastAsia="Calibri"/>
          <w:color w:val="000000" w:themeColor="text1"/>
          <w:sz w:val="28"/>
          <w:szCs w:val="28"/>
        </w:rPr>
        <w:t xml:space="preserve"> программ</w:t>
      </w:r>
      <w:r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81F51" w:rsidRPr="002A7574">
        <w:rPr>
          <w:rFonts w:eastAsia="Calibri"/>
          <w:color w:val="000000" w:themeColor="text1"/>
          <w:sz w:val="28"/>
          <w:szCs w:val="28"/>
        </w:rPr>
        <w:t xml:space="preserve"> на   развитие социальной активност</w:t>
      </w:r>
      <w:r w:rsidR="00EC30DD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>
        <w:rPr>
          <w:rFonts w:eastAsia="Calibri"/>
          <w:color w:val="000000" w:themeColor="text1"/>
          <w:sz w:val="28"/>
          <w:szCs w:val="28"/>
        </w:rPr>
        <w:t>», который позволяет обеспечить р</w:t>
      </w:r>
      <w:r w:rsidR="00EC30DD" w:rsidRPr="00EC30DD">
        <w:rPr>
          <w:rFonts w:eastAsia="Calibri"/>
          <w:color w:val="000000" w:themeColor="text1"/>
          <w:sz w:val="28"/>
          <w:szCs w:val="28"/>
        </w:rPr>
        <w:t>азвитие ценностного отношения учащихся к своей родине России, людям, событиям.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B23A36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</w:t>
      </w:r>
      <w:r w:rsidR="00625B4F">
        <w:rPr>
          <w:bCs/>
          <w:iCs/>
          <w:sz w:val="28"/>
          <w:szCs w:val="28"/>
        </w:rPr>
        <w:t>Р</w:t>
      </w:r>
      <w:r w:rsidRPr="002A7574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sectPr w:rsidR="00B23A36" w:rsidSect="00C760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D0" w:rsidRDefault="00BF72D0">
      <w:r>
        <w:separator/>
      </w:r>
    </w:p>
  </w:endnote>
  <w:endnote w:type="continuationSeparator" w:id="0">
    <w:p w:rsidR="00BF72D0" w:rsidRDefault="00BF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D0" w:rsidRDefault="00BF72D0">
      <w:r>
        <w:separator/>
      </w:r>
    </w:p>
  </w:footnote>
  <w:footnote w:type="continuationSeparator" w:id="0">
    <w:p w:rsidR="00BF72D0" w:rsidRDefault="00BF7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360A3"/>
    <w:rsid w:val="00244F43"/>
    <w:rsid w:val="00250C40"/>
    <w:rsid w:val="002543CB"/>
    <w:rsid w:val="00256A54"/>
    <w:rsid w:val="0026043B"/>
    <w:rsid w:val="00262BED"/>
    <w:rsid w:val="00277EA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2F0445"/>
    <w:rsid w:val="003015DF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60817"/>
    <w:rsid w:val="003648DC"/>
    <w:rsid w:val="00365791"/>
    <w:rsid w:val="00367132"/>
    <w:rsid w:val="0037380C"/>
    <w:rsid w:val="003849EF"/>
    <w:rsid w:val="00394618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537B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13AD6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37A5"/>
    <w:rsid w:val="00603913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5B4F"/>
    <w:rsid w:val="00631992"/>
    <w:rsid w:val="00641FB7"/>
    <w:rsid w:val="006563E2"/>
    <w:rsid w:val="0066004A"/>
    <w:rsid w:val="00661CB6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27BBA"/>
    <w:rsid w:val="00732A39"/>
    <w:rsid w:val="00736ABA"/>
    <w:rsid w:val="007373E1"/>
    <w:rsid w:val="00740A49"/>
    <w:rsid w:val="00741088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373F"/>
    <w:rsid w:val="007F54FF"/>
    <w:rsid w:val="007F7F41"/>
    <w:rsid w:val="00803DAD"/>
    <w:rsid w:val="00805048"/>
    <w:rsid w:val="0081109C"/>
    <w:rsid w:val="00814217"/>
    <w:rsid w:val="008221D4"/>
    <w:rsid w:val="0082410E"/>
    <w:rsid w:val="008242EA"/>
    <w:rsid w:val="00825491"/>
    <w:rsid w:val="0083181A"/>
    <w:rsid w:val="0083290E"/>
    <w:rsid w:val="00850E30"/>
    <w:rsid w:val="008563CB"/>
    <w:rsid w:val="008630F0"/>
    <w:rsid w:val="008634CA"/>
    <w:rsid w:val="0086684E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093"/>
    <w:rsid w:val="009C6CC0"/>
    <w:rsid w:val="009D4020"/>
    <w:rsid w:val="009E347E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23A36"/>
    <w:rsid w:val="00B36AA3"/>
    <w:rsid w:val="00B41CEC"/>
    <w:rsid w:val="00B457B4"/>
    <w:rsid w:val="00B53D20"/>
    <w:rsid w:val="00B55121"/>
    <w:rsid w:val="00B55956"/>
    <w:rsid w:val="00B62AF5"/>
    <w:rsid w:val="00B6504C"/>
    <w:rsid w:val="00B65B47"/>
    <w:rsid w:val="00B73FFE"/>
    <w:rsid w:val="00B77207"/>
    <w:rsid w:val="00B8621B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BF72D0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05D6"/>
    <w:rsid w:val="00C61D2C"/>
    <w:rsid w:val="00C6510F"/>
    <w:rsid w:val="00C760ED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CF51A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22AB"/>
    <w:rsid w:val="00D91033"/>
    <w:rsid w:val="00D91806"/>
    <w:rsid w:val="00D9376A"/>
    <w:rsid w:val="00D94D6F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81F51"/>
    <w:rsid w:val="00E902D5"/>
    <w:rsid w:val="00E90333"/>
    <w:rsid w:val="00E929FE"/>
    <w:rsid w:val="00E95366"/>
    <w:rsid w:val="00EA47B6"/>
    <w:rsid w:val="00EA7EC6"/>
    <w:rsid w:val="00EA7F4E"/>
    <w:rsid w:val="00EB35DB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85745"/>
    <w:rsid w:val="00FA3F68"/>
    <w:rsid w:val="00FA4BD4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86BE3-5012-4601-8A48-18020911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8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20252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393</cp:revision>
  <cp:lastPrinted>2023-06-22T03:52:00Z</cp:lastPrinted>
  <dcterms:created xsi:type="dcterms:W3CDTF">2019-05-16T11:40:00Z</dcterms:created>
  <dcterms:modified xsi:type="dcterms:W3CDTF">2023-08-03T06:59:00Z</dcterms:modified>
</cp:coreProperties>
</file>