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48" w:rsidRPr="00055FBA" w:rsidRDefault="00E27748" w:rsidP="00C30400">
      <w:pPr>
        <w:pStyle w:val="2"/>
        <w:shd w:val="clear" w:color="auto" w:fill="FFFFFF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55FBA">
        <w:rPr>
          <w:rFonts w:ascii="Times New Roman" w:hAnsi="Times New Roman" w:cs="Times New Roman"/>
          <w:color w:val="auto"/>
          <w:sz w:val="24"/>
          <w:szCs w:val="24"/>
        </w:rPr>
        <w:t>Приложение</w:t>
      </w:r>
      <w:r w:rsidR="00DF238B" w:rsidRPr="00055FBA">
        <w:rPr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C30400" w:rsidRPr="00055FBA" w:rsidRDefault="00C30400" w:rsidP="00C30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FBA">
        <w:rPr>
          <w:rFonts w:ascii="Times New Roman" w:hAnsi="Times New Roman" w:cs="Times New Roman"/>
          <w:sz w:val="24"/>
          <w:szCs w:val="24"/>
        </w:rPr>
        <w:t>к протоколу заседания комиссии</w:t>
      </w:r>
    </w:p>
    <w:p w:rsidR="00C30400" w:rsidRPr="00055FBA" w:rsidRDefault="00C30400" w:rsidP="00C304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5FBA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</w:t>
      </w:r>
    </w:p>
    <w:p w:rsidR="00C30400" w:rsidRPr="00055FBA" w:rsidRDefault="00C30400" w:rsidP="00C30400">
      <w:pPr>
        <w:spacing w:after="0" w:line="240" w:lineRule="auto"/>
        <w:jc w:val="right"/>
        <w:rPr>
          <w:sz w:val="24"/>
          <w:szCs w:val="24"/>
        </w:rPr>
      </w:pPr>
      <w:r w:rsidRPr="00055FBA">
        <w:rPr>
          <w:rFonts w:ascii="Times New Roman" w:hAnsi="Times New Roman" w:cs="Times New Roman"/>
          <w:sz w:val="24"/>
          <w:szCs w:val="24"/>
        </w:rPr>
        <w:t>в г.Нефтеюганске от 21.06.2023 № 2</w:t>
      </w:r>
    </w:p>
    <w:p w:rsidR="00C30400" w:rsidRDefault="00C30400" w:rsidP="00E27748">
      <w:pPr>
        <w:pStyle w:val="2"/>
        <w:shd w:val="clear" w:color="auto" w:fill="FFFFFF"/>
        <w:spacing w:before="0" w:after="255" w:line="3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7748" w:rsidRPr="005612D6" w:rsidRDefault="00E27748" w:rsidP="00E27748">
      <w:pPr>
        <w:pStyle w:val="2"/>
        <w:shd w:val="clear" w:color="auto" w:fill="FFFFFF"/>
        <w:spacing w:before="0" w:after="255" w:line="30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612D6">
        <w:rPr>
          <w:rFonts w:ascii="Times New Roman" w:hAnsi="Times New Roman" w:cs="Times New Roman"/>
          <w:b/>
          <w:color w:val="auto"/>
          <w:sz w:val="28"/>
          <w:szCs w:val="28"/>
        </w:rPr>
        <w:t>Методические рекомендации по разработке и реализации мероприятий по организации дорожного движения. Требования к планированию развития инфраструктуры велосипедного транспорта поселений, городских округов в Российской Федерации</w:t>
      </w:r>
    </w:p>
    <w:p w:rsidR="00E27748" w:rsidRPr="000C345B" w:rsidRDefault="00E27748" w:rsidP="00E27748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0C345B">
        <w:rPr>
          <w:rFonts w:ascii="Times New Roman" w:hAnsi="Times New Roman" w:cs="Times New Roman"/>
          <w:color w:val="333333"/>
          <w:sz w:val="24"/>
          <w:szCs w:val="24"/>
        </w:rPr>
        <w:t>17 августа 2018</w:t>
      </w:r>
    </w:p>
    <w:tbl>
      <w:tblPr>
        <w:tblW w:w="507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0"/>
        <w:gridCol w:w="5465"/>
        <w:gridCol w:w="142"/>
      </w:tblGrid>
      <w:tr w:rsidR="00E27748" w:rsidRPr="000C345B" w:rsidTr="00E27748">
        <w:trPr>
          <w:gridAfter w:val="1"/>
          <w:wAfter w:w="75" w:type="pct"/>
        </w:trPr>
        <w:tc>
          <w:tcPr>
            <w:tcW w:w="0" w:type="auto"/>
            <w:hideMark/>
          </w:tcPr>
          <w:p w:rsidR="00E27748" w:rsidRPr="000C345B" w:rsidRDefault="00E27748" w:rsidP="008172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0"/>
            <w:bookmarkEnd w:id="0"/>
            <w:r w:rsidRPr="000C3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«ОДОБРЕНО» </w:t>
            </w:r>
          </w:p>
          <w:p w:rsidR="00E27748" w:rsidRPr="000C345B" w:rsidRDefault="00E27748" w:rsidP="008172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5B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совет открытого акционерного общества «Научно-исследовательский институт автомобильного транспорта»</w:t>
            </w:r>
          </w:p>
        </w:tc>
        <w:tc>
          <w:tcPr>
            <w:tcW w:w="0" w:type="auto"/>
            <w:hideMark/>
          </w:tcPr>
          <w:p w:rsidR="00E27748" w:rsidRPr="000C345B" w:rsidRDefault="00E27748" w:rsidP="008172A9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«ОДОБРЕНО» </w:t>
            </w:r>
          </w:p>
          <w:p w:rsidR="00E27748" w:rsidRPr="000C345B" w:rsidRDefault="00E27748" w:rsidP="008172A9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45B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Межведомственный Координационный комитет проекта ПРООН/ГЭФ - Минтранс России «Сокращение выбросов парниковых газов от автомобильного транспорта в городах России»</w:t>
            </w:r>
          </w:p>
        </w:tc>
      </w:tr>
      <w:tr w:rsidR="00E27748" w:rsidRPr="000C345B" w:rsidTr="00E27748">
        <w:trPr>
          <w:gridAfter w:val="1"/>
          <w:wAfter w:w="75" w:type="pct"/>
          <w:trHeight w:val="145"/>
        </w:trPr>
        <w:tc>
          <w:tcPr>
            <w:tcW w:w="0" w:type="auto"/>
            <w:hideMark/>
          </w:tcPr>
          <w:p w:rsidR="00E27748" w:rsidRPr="000C345B" w:rsidRDefault="00E27748" w:rsidP="0081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5B">
              <w:rPr>
                <w:rFonts w:ascii="Times New Roman" w:hAnsi="Times New Roman" w:cs="Times New Roman"/>
                <w:sz w:val="24"/>
                <w:szCs w:val="24"/>
              </w:rPr>
              <w:t>Протокол № 2 от 25.04.2017</w:t>
            </w:r>
          </w:p>
        </w:tc>
        <w:tc>
          <w:tcPr>
            <w:tcW w:w="0" w:type="auto"/>
            <w:hideMark/>
          </w:tcPr>
          <w:p w:rsidR="00E27748" w:rsidRPr="000C345B" w:rsidRDefault="00E27748" w:rsidP="008172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48" w:rsidRPr="000C345B" w:rsidTr="00E27748">
        <w:tblPrEx>
          <w:jc w:val="right"/>
        </w:tblPrEx>
        <w:trPr>
          <w:jc w:val="right"/>
        </w:trPr>
        <w:tc>
          <w:tcPr>
            <w:tcW w:w="5000" w:type="pct"/>
            <w:gridSpan w:val="3"/>
            <w:hideMark/>
          </w:tcPr>
          <w:p w:rsidR="00E27748" w:rsidRPr="000C345B" w:rsidRDefault="00E27748" w:rsidP="00E27748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right="127"/>
              <w:jc w:val="right"/>
              <w:rPr>
                <w:color w:val="333333"/>
              </w:rPr>
            </w:pPr>
            <w:r w:rsidRPr="000C345B">
              <w:rPr>
                <w:color w:val="333333"/>
              </w:rPr>
              <w:t>Согласовано</w:t>
            </w:r>
          </w:p>
          <w:p w:rsidR="00E27748" w:rsidRPr="000C345B" w:rsidRDefault="00E27748" w:rsidP="00E27748">
            <w:pPr>
              <w:pStyle w:val="a3"/>
              <w:shd w:val="clear" w:color="auto" w:fill="FFFFFF"/>
              <w:spacing w:before="0" w:beforeAutospacing="0" w:after="0" w:afterAutospacing="0" w:line="270" w:lineRule="atLeast"/>
              <w:ind w:right="127"/>
              <w:jc w:val="right"/>
              <w:rPr>
                <w:color w:val="333333"/>
              </w:rPr>
            </w:pPr>
            <w:r w:rsidRPr="000C345B">
              <w:rPr>
                <w:color w:val="333333"/>
              </w:rPr>
              <w:t>СОГЛАСОВАНО</w:t>
            </w:r>
          </w:p>
          <w:p w:rsidR="00E27748" w:rsidRPr="000C345B" w:rsidRDefault="00E27748" w:rsidP="00E27748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5B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</w:t>
            </w:r>
            <w:r w:rsidRPr="000C34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транспорта Российской Федерации </w:t>
            </w:r>
          </w:p>
          <w:p w:rsidR="00E27748" w:rsidRPr="000C345B" w:rsidRDefault="00E27748" w:rsidP="00E27748">
            <w:pPr>
              <w:spacing w:after="0"/>
              <w:ind w:right="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45B">
              <w:rPr>
                <w:rFonts w:ascii="Times New Roman" w:hAnsi="Times New Roman" w:cs="Times New Roman"/>
                <w:sz w:val="24"/>
                <w:szCs w:val="24"/>
              </w:rPr>
              <w:t>Н.А. </w:t>
            </w:r>
            <w:proofErr w:type="spellStart"/>
            <w:r w:rsidRPr="000C345B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</w:p>
        </w:tc>
      </w:tr>
    </w:tbl>
    <w:p w:rsidR="00E27748" w:rsidRPr="000C345B" w:rsidRDefault="00E27748" w:rsidP="00E27748">
      <w:pPr>
        <w:shd w:val="clear" w:color="auto" w:fill="FFFFFF"/>
        <w:spacing w:after="255" w:line="270" w:lineRule="atLeast"/>
        <w:ind w:left="7080"/>
        <w:rPr>
          <w:rFonts w:ascii="Times New Roman" w:hAnsi="Times New Roman" w:cs="Times New Roman"/>
          <w:color w:val="333333"/>
          <w:sz w:val="24"/>
          <w:szCs w:val="24"/>
        </w:rPr>
      </w:pPr>
      <w:r w:rsidRPr="000C345B">
        <w:rPr>
          <w:rFonts w:ascii="Times New Roman" w:hAnsi="Times New Roman" w:cs="Times New Roman"/>
          <w:color w:val="333333"/>
          <w:sz w:val="24"/>
          <w:szCs w:val="24"/>
        </w:rPr>
        <w:t xml:space="preserve">             24 июля 2018 </w:t>
      </w:r>
    </w:p>
    <w:p w:rsidR="00044C2E" w:rsidRPr="00044C2E" w:rsidRDefault="00044C2E" w:rsidP="00044C2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Велосипедные парковки.</w:t>
      </w:r>
    </w:p>
    <w:p w:rsidR="00044C2E" w:rsidRPr="00044C2E" w:rsidRDefault="00044C2E" w:rsidP="00044C2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Велопарковки устраиваются возле учебных заведений, кинотеатров, магазинов площадью более 100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E5D355" wp14:editId="7DE92CB5">
            <wp:extent cx="161925" cy="209550"/>
            <wp:effectExtent l="0" t="0" r="9525" b="0"/>
            <wp:docPr id="12" name="Рисунок 12" descr="https://www.garant.ru/files/8/4/1213948/pict4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8/4/1213948/pict4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торговых центров, обзорных площадок, музеев, пересадочных узлов, иных объектов.</w:t>
      </w:r>
    </w:p>
    <w:p w:rsidR="00044C2E" w:rsidRPr="00044C2E" w:rsidRDefault="00044C2E" w:rsidP="00044C2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Габаритные размеры велопарковки на 1 велосипед принимаются в размере не менее 1,2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650ADF" wp14:editId="405EF53D">
            <wp:extent cx="161925" cy="209550"/>
            <wp:effectExtent l="0" t="0" r="9525" b="0"/>
            <wp:docPr id="11" name="Рисунок 11" descr="https://www.garant.ru/files/8/4/1213948/pict5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8/4/1213948/pict5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длине парковочного места не менее 2 м.</w:t>
      </w:r>
    </w:p>
    <w:p w:rsidR="00044C2E" w:rsidRPr="00044C2E" w:rsidRDefault="00044C2E" w:rsidP="00044C2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устройстве многорядной велопарковки должен быть обеспечен проезд (проход) между рядами шириной не менее 1,5 м.</w:t>
      </w:r>
    </w:p>
    <w:p w:rsidR="00044C2E" w:rsidRPr="00044C2E" w:rsidRDefault="00044C2E" w:rsidP="00044C2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</w:t>
      </w:r>
      <w:proofErr w:type="spellStart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Велопарковка</w:t>
      </w:r>
      <w:proofErr w:type="spellEnd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быть организована с диагональным расположением велосипедов, когда велосипеды припаркованы под углом 45°, рули не так сильно мешают </w:t>
      </w:r>
      <w:proofErr w:type="spellStart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велопарковке</w:t>
      </w:r>
      <w:proofErr w:type="spellEnd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Расстояние между велосипедами можно уменьшить до 50 см (или до 40 см в стесненных условиях) см, а глубину велопарковки - до 1,4 м. При такой </w:t>
      </w:r>
      <w:proofErr w:type="spellStart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велопарковке</w:t>
      </w:r>
      <w:proofErr w:type="spellEnd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пройти к ней мо</w:t>
      </w:r>
      <w:r w:rsidR="00055F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жно только в одном направлении</w:t>
      </w:r>
    </w:p>
    <w:p w:rsidR="00044C2E" w:rsidRPr="00044C2E" w:rsidRDefault="00044C2E" w:rsidP="00044C2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Рекомендуемая площадь, приходящаяся на один велосипед на </w:t>
      </w:r>
      <w:proofErr w:type="spellStart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велопарковке</w:t>
      </w:r>
      <w:proofErr w:type="spellEnd"/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- 1,7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5F2F21D" wp14:editId="243F0AEB">
            <wp:extent cx="161925" cy="209550"/>
            <wp:effectExtent l="0" t="0" r="9525" b="0"/>
            <wp:docPr id="10" name="Рисунок 10" descr="https://www.garant.ru/files/8/4/1213948/pict6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8/4/1213948/pict6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включая парковочную площадь (1,2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1929EAF" wp14:editId="10DE53BA">
            <wp:extent cx="161925" cy="209550"/>
            <wp:effectExtent l="0" t="0" r="9525" b="0"/>
            <wp:docPr id="9" name="Рисунок 9" descr="https://www.garant.ru/files/8/4/1213948/pict7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8/4/1213948/pict7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 и проход (0,5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C3ECA3B" wp14:editId="4FE11419">
            <wp:extent cx="161925" cy="209550"/>
            <wp:effectExtent l="0" t="0" r="9525" b="0"/>
            <wp:docPr id="8" name="Рисунок 8" descr="https://www.garant.ru/files/8/4/1213948/pict8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8/4/1213948/pict8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каждый велосипед). Парковочная площадь может варьироваться от 1 ,2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8CCD4AF" wp14:editId="3507E9A2">
            <wp:extent cx="161925" cy="209550"/>
            <wp:effectExtent l="0" t="0" r="9525" b="0"/>
            <wp:docPr id="7" name="Рисунок 7" descr="https://www.garant.ru/files/8/4/1213948/pict9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8/4/1213948/pict9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компактных решений до 3 </w:t>
      </w:r>
      <w:r w:rsidRPr="00044C2E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B9ABE34" wp14:editId="4A7F75E8">
            <wp:extent cx="161925" cy="209550"/>
            <wp:effectExtent l="0" t="0" r="9525" b="0"/>
            <wp:docPr id="6" name="Рисунок 6" descr="https://www.garant.ru/files/8/4/1213948/pict10-719037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8/4/1213948/pict10-719037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там, где используются комфортные стойки с шириной ячеек 80 см.</w:t>
      </w:r>
    </w:p>
    <w:p w:rsidR="00E27748" w:rsidRPr="00E27748" w:rsidRDefault="00E27748" w:rsidP="00E277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Рекомендуемые значения количества парковочных мест для велосипедов указаны в </w:t>
      </w:r>
      <w:hyperlink r:id="rId5" w:anchor="240" w:history="1">
        <w:r w:rsidRPr="00E27748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таблице 2.4</w:t>
        </w:r>
      </w:hyperlink>
      <w:r w:rsidRPr="00E27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1" w:name="_GoBack"/>
      <w:bookmarkEnd w:id="1"/>
    </w:p>
    <w:p w:rsidR="00E27748" w:rsidRPr="00E27748" w:rsidRDefault="00E27748" w:rsidP="00E2774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Таблица 2.4.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2"/>
        <w:gridCol w:w="4553"/>
      </w:tblGrid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Типы объектов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Число парковочных мест для велосипедов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торговый центр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4...6 на 100 </w:t>
            </w:r>
            <w:r w:rsidRPr="00E2774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E524F8C" wp14:editId="36C2B422">
                  <wp:extent cx="161925" cy="209550"/>
                  <wp:effectExtent l="0" t="0" r="9525" b="0"/>
                  <wp:docPr id="1" name="Рисунок 1" descr="https://www.garant.ru/files/8/4/1213948/pict13-7190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arant.ru/files/8/4/1213948/pict13-71903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площади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Районный торговый центр (универмаг)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5...7 на 100 </w:t>
            </w:r>
            <w:r w:rsidRPr="00E2774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6854302" wp14:editId="21688895">
                  <wp:extent cx="161925" cy="209550"/>
                  <wp:effectExtent l="0" t="0" r="9525" b="0"/>
                  <wp:docPr id="2" name="Рисунок 2" descr="https://www.garant.ru/files/8/4/1213948/pict14-7190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arant.ru/files/8/4/1213948/pict14-71903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площади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Местный торговый центр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6...8 на 100 </w:t>
            </w:r>
            <w:r w:rsidRPr="00E2774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24C8256" wp14:editId="0C30FEA7">
                  <wp:extent cx="161925" cy="209550"/>
                  <wp:effectExtent l="0" t="0" r="9525" b="0"/>
                  <wp:docPr id="3" name="Рисунок 3" descr="https://www.garant.ru/files/8/4/1213948/pict15-7190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arant.ru/files/8/4/1213948/pict15-71903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площади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Офисные учреждения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2...4 на 100 </w:t>
            </w:r>
            <w:r w:rsidRPr="00E2774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EA6053D" wp14:editId="5223D451">
                  <wp:extent cx="161925" cy="209550"/>
                  <wp:effectExtent l="0" t="0" r="9525" b="0"/>
                  <wp:docPr id="4" name="Рисунок 4" descr="https://www.garant.ru/files/8/4/1213948/pict16-7190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arant.ru/files/8/4/1213948/pict16-71903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площади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30 на 100 школьников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50 на 100 школьников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60 на 100 студентов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Закрытый спортивный центр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35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Спортивная площадка с трибуной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20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20 на поле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15 на 100 </w:t>
            </w:r>
            <w:r w:rsidRPr="00E27748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3951B7D" wp14:editId="4A4C721C">
                  <wp:extent cx="161925" cy="209550"/>
                  <wp:effectExtent l="0" t="0" r="9525" b="0"/>
                  <wp:docPr id="5" name="Рисунок 5" descr="https://www.garant.ru/files/8/4/1213948/pict17-71903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arant.ru/files/8/4/1213948/pict17-719037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водной поверхности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20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25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Кинотеатр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25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Крупная дискотека; городская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25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Крупная дискотека; </w:t>
            </w:r>
            <w:proofErr w:type="spellStart"/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негородская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5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Больница; городская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30 на 100 кроватей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Больница; областная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20 на 100 кроватей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 престарелых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 на 100 кроватей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Места отдыха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20...35 на 100 посетителей</w:t>
            </w:r>
          </w:p>
        </w:tc>
      </w:tr>
      <w:tr w:rsidR="00E27748" w:rsidRPr="00E27748" w:rsidTr="008172A9"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Аттракционы/тематические парки развлечений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E27748" w:rsidRPr="00E27748" w:rsidRDefault="00E27748" w:rsidP="0081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77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10...15 на 100 посетителей</w:t>
            </w:r>
          </w:p>
        </w:tc>
      </w:tr>
    </w:tbl>
    <w:p w:rsidR="008004F3" w:rsidRPr="00E27748" w:rsidRDefault="008004F3">
      <w:pPr>
        <w:rPr>
          <w:rFonts w:ascii="Times New Roman" w:hAnsi="Times New Roman" w:cs="Times New Roman"/>
          <w:sz w:val="24"/>
          <w:szCs w:val="24"/>
        </w:rPr>
      </w:pPr>
    </w:p>
    <w:sectPr w:rsidR="008004F3" w:rsidRPr="00E27748" w:rsidSect="00E2774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74"/>
    <w:rsid w:val="00044C2E"/>
    <w:rsid w:val="00055FBA"/>
    <w:rsid w:val="000C345B"/>
    <w:rsid w:val="005612D6"/>
    <w:rsid w:val="008004F3"/>
    <w:rsid w:val="00C14E74"/>
    <w:rsid w:val="00C30400"/>
    <w:rsid w:val="00DF238B"/>
    <w:rsid w:val="00E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EA05"/>
  <w15:chartTrackingRefBased/>
  <w15:docId w15:val="{E0763D56-D53C-481A-98AD-91CB31A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7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2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190378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8</cp:revision>
  <dcterms:created xsi:type="dcterms:W3CDTF">2023-06-22T07:02:00Z</dcterms:created>
  <dcterms:modified xsi:type="dcterms:W3CDTF">2023-06-27T07:20:00Z</dcterms:modified>
</cp:coreProperties>
</file>