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 w:rsidR="0090544A">
        <w:rPr>
          <w:b/>
          <w:sz w:val="28"/>
          <w:szCs w:val="28"/>
        </w:rPr>
        <w:t>на 01.0</w:t>
      </w:r>
      <w:r w:rsidR="008668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6D3A64">
        <w:rPr>
          <w:bCs/>
          <w:iCs/>
          <w:sz w:val="28"/>
          <w:szCs w:val="28"/>
        </w:rPr>
        <w:t>7</w:t>
      </w:r>
      <w:r w:rsidR="0090544A">
        <w:rPr>
          <w:bCs/>
          <w:iCs/>
          <w:sz w:val="28"/>
          <w:szCs w:val="28"/>
        </w:rPr>
        <w:t>.2023 4</w:t>
      </w:r>
      <w:r w:rsidR="006D3A64">
        <w:rPr>
          <w:bCs/>
          <w:iCs/>
          <w:sz w:val="28"/>
          <w:szCs w:val="28"/>
        </w:rPr>
        <w:t>6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6D3A64" w:rsidRDefault="006D3A64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Результат: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>призёр регионального этапа</w:t>
      </w:r>
      <w:r w:rsidRPr="00BF0362">
        <w:rPr>
          <w:sz w:val="28"/>
          <w:szCs w:val="28"/>
        </w:rPr>
        <w:t xml:space="preserve"> Всероссийской профессиональной олимпиады для учителей «ДНК-науки» (физика, химия, биология)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 xml:space="preserve">учитель физики МБОУ «СОШ № 2 </w:t>
      </w:r>
      <w:proofErr w:type="spellStart"/>
      <w:r w:rsidRPr="00BF0362">
        <w:rPr>
          <w:sz w:val="28"/>
          <w:szCs w:val="28"/>
        </w:rPr>
        <w:t>им.А.И.Исаевой</w:t>
      </w:r>
      <w:proofErr w:type="spellEnd"/>
      <w:r w:rsidRPr="00BF036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BF0362">
        <w:rPr>
          <w:sz w:val="28"/>
          <w:szCs w:val="28"/>
        </w:rPr>
        <w:t>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призёр </w:t>
      </w:r>
      <w:r w:rsidRPr="00BF0362">
        <w:rPr>
          <w:sz w:val="28"/>
          <w:szCs w:val="28"/>
        </w:rPr>
        <w:t>регионально</w:t>
      </w:r>
      <w:r>
        <w:rPr>
          <w:sz w:val="28"/>
          <w:szCs w:val="28"/>
        </w:rPr>
        <w:t>го конкурса</w:t>
      </w:r>
      <w:r w:rsidRPr="00BF0362">
        <w:rPr>
          <w:sz w:val="28"/>
          <w:szCs w:val="28"/>
        </w:rPr>
        <w:t xml:space="preserve"> на лучшую акцию в формате </w:t>
      </w:r>
      <w:proofErr w:type="spellStart"/>
      <w:r w:rsidRPr="00BF0362">
        <w:rPr>
          <w:sz w:val="28"/>
          <w:szCs w:val="28"/>
        </w:rPr>
        <w:t>флешмоба</w:t>
      </w:r>
      <w:proofErr w:type="spellEnd"/>
      <w:r w:rsidRPr="00BF0362">
        <w:rPr>
          <w:sz w:val="28"/>
          <w:szCs w:val="28"/>
        </w:rPr>
        <w:t xml:space="preserve"> просветительской акции для молодых педагогов Ханты-Мансийского автономного </w:t>
      </w:r>
      <w:proofErr w:type="spellStart"/>
      <w:r w:rsidRPr="00BF0362">
        <w:rPr>
          <w:sz w:val="28"/>
          <w:szCs w:val="28"/>
        </w:rPr>
        <w:t>округа-Югры</w:t>
      </w:r>
      <w:proofErr w:type="spellEnd"/>
      <w:r w:rsidRPr="00BF0362">
        <w:rPr>
          <w:sz w:val="28"/>
          <w:szCs w:val="28"/>
        </w:rPr>
        <w:t xml:space="preserve"> «Вектор наставничества: от идеи до реализации» </w:t>
      </w:r>
      <w:r>
        <w:rPr>
          <w:sz w:val="28"/>
          <w:szCs w:val="28"/>
        </w:rPr>
        <w:t>(</w:t>
      </w:r>
      <w:r w:rsidRPr="00BF0362">
        <w:rPr>
          <w:sz w:val="28"/>
          <w:szCs w:val="28"/>
        </w:rPr>
        <w:t>МБОУ «СОШ №14»);</w:t>
      </w:r>
    </w:p>
    <w:p w:rsidR="006D3A64" w:rsidRPr="00BF0362" w:rsidRDefault="006D3A64" w:rsidP="006D3A6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</w:t>
      </w:r>
      <w:r>
        <w:rPr>
          <w:sz w:val="28"/>
          <w:szCs w:val="28"/>
        </w:rPr>
        <w:t xml:space="preserve">победитель Всероссийского </w:t>
      </w:r>
      <w:r w:rsidRPr="00BF036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BF0362">
        <w:rPr>
          <w:sz w:val="28"/>
          <w:szCs w:val="28"/>
        </w:rPr>
        <w:t xml:space="preserve"> «Лучшие педагогические практики», реализуемом Институтом гуманитарного образования и информационных технологий при поддержке Комитета по науке, образованию и культуре Совета Федерации Федерального Собрания РФ (педагог МБОУ «СОШ №5 «Многопрофильная»).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342EB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342EBC">
        <w:rPr>
          <w:rFonts w:eastAsia="Calibri"/>
          <w:sz w:val="28"/>
          <w:szCs w:val="28"/>
          <w:lang w:eastAsia="en-US"/>
        </w:rPr>
        <w:t>82,5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</w:t>
      </w:r>
      <w:r w:rsidR="0090544A">
        <w:rPr>
          <w:rFonts w:eastAsia="Calibri"/>
          <w:sz w:val="28"/>
          <w:szCs w:val="28"/>
          <w:lang w:eastAsia="en-US"/>
        </w:rPr>
        <w:t>дополнительного образования: 1</w:t>
      </w:r>
      <w:r w:rsidR="00610257">
        <w:rPr>
          <w:rFonts w:eastAsia="Calibri"/>
          <w:sz w:val="28"/>
          <w:szCs w:val="28"/>
          <w:lang w:eastAsia="en-US"/>
        </w:rPr>
        <w:t>5,6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</w:t>
      </w:r>
      <w:r w:rsidR="00610257">
        <w:rPr>
          <w:rFonts w:eastAsia="Calibri"/>
          <w:sz w:val="28"/>
          <w:szCs w:val="28"/>
          <w:lang w:eastAsia="en-US"/>
        </w:rPr>
        <w:t>я 438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</w:t>
      </w:r>
      <w:r w:rsidR="00610257">
        <w:rPr>
          <w:rFonts w:eastAsia="Calibri"/>
          <w:sz w:val="28"/>
          <w:szCs w:val="28"/>
          <w:lang w:eastAsia="en-US"/>
        </w:rPr>
        <w:t>роекта в 2024 году не менее 25,4</w:t>
      </w:r>
      <w:r w:rsidRPr="006C65B9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</w:t>
      </w:r>
      <w:r w:rsidRPr="006C65B9">
        <w:rPr>
          <w:rFonts w:eastAsia="Calibri"/>
          <w:sz w:val="28"/>
          <w:szCs w:val="28"/>
          <w:lang w:eastAsia="en-US"/>
        </w:rPr>
        <w:lastRenderedPageBreak/>
        <w:t>способностей и талантов у детей и молодежи. На 01.0</w:t>
      </w:r>
      <w:r w:rsidR="00610257">
        <w:rPr>
          <w:rFonts w:eastAsia="Calibri"/>
          <w:sz w:val="28"/>
          <w:szCs w:val="28"/>
          <w:lang w:eastAsia="en-US"/>
        </w:rPr>
        <w:t>7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610257">
        <w:rPr>
          <w:rFonts w:eastAsia="Calibri"/>
          <w:sz w:val="28"/>
          <w:szCs w:val="28"/>
          <w:lang w:eastAsia="en-US"/>
        </w:rPr>
        <w:t>13,4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Реализация указанных мероприятий начинается с марта 2023 г. </w:t>
      </w:r>
      <w:r w:rsidR="0090544A">
        <w:rPr>
          <w:rFonts w:eastAsia="Calibri"/>
          <w:sz w:val="28"/>
          <w:szCs w:val="28"/>
          <w:lang w:eastAsia="en-US"/>
        </w:rPr>
        <w:t>и на 01.0</w:t>
      </w:r>
      <w:r w:rsidR="00610257">
        <w:rPr>
          <w:rFonts w:eastAsia="Calibri"/>
          <w:sz w:val="28"/>
          <w:szCs w:val="28"/>
          <w:lang w:eastAsia="en-US"/>
        </w:rPr>
        <w:t>7</w:t>
      </w:r>
      <w:r w:rsidR="00603913">
        <w:rPr>
          <w:rFonts w:eastAsia="Calibri"/>
          <w:sz w:val="28"/>
          <w:szCs w:val="28"/>
          <w:lang w:eastAsia="en-US"/>
        </w:rPr>
        <w:t xml:space="preserve">.2023 составила </w:t>
      </w:r>
      <w:r w:rsidR="00610257">
        <w:rPr>
          <w:rFonts w:eastAsia="Calibri"/>
          <w:sz w:val="28"/>
          <w:szCs w:val="28"/>
          <w:lang w:eastAsia="en-US"/>
        </w:rPr>
        <w:t>12</w:t>
      </w:r>
      <w:r w:rsidR="00603913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C605D6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C605D6" w:rsidRPr="00BF0362" w:rsidRDefault="00E81F51" w:rsidP="00C605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</w:t>
      </w:r>
      <w:r w:rsidR="00C605D6">
        <w:rPr>
          <w:bCs/>
          <w:iCs/>
          <w:sz w:val="28"/>
          <w:szCs w:val="28"/>
        </w:rPr>
        <w:t>5</w:t>
      </w:r>
      <w:r w:rsidRPr="002A7574">
        <w:rPr>
          <w:bCs/>
          <w:iCs/>
          <w:sz w:val="28"/>
          <w:szCs w:val="28"/>
        </w:rPr>
        <w:t xml:space="preserve"> дошкольных образовательных организаций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</w:t>
      </w:r>
      <w:proofErr w:type="gramStart"/>
      <w:r w:rsidR="00C605D6" w:rsidRPr="00BF0362">
        <w:rPr>
          <w:sz w:val="28"/>
          <w:szCs w:val="28"/>
        </w:rPr>
        <w:t xml:space="preserve">2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>инновационные площадки федерального уровня АНО ДПО «НИИ дошкольного образования «Воспитатели России»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 xml:space="preserve"> -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модель патриотического воспитания, 1 </w:t>
      </w:r>
      <w:r w:rsidR="00C605D6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2360A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605D6" w:rsidRPr="00BF0362">
        <w:rPr>
          <w:rFonts w:eastAsiaTheme="minorHAnsi"/>
          <w:bCs/>
          <w:iCs/>
          <w:sz w:val="28"/>
          <w:szCs w:val="28"/>
          <w:lang w:eastAsia="en-US"/>
        </w:rPr>
        <w:t>инновационная площадка</w:t>
      </w:r>
      <w:r w:rsidR="00C605D6" w:rsidRPr="00BF0362">
        <w:rPr>
          <w:bCs/>
          <w:iCs/>
          <w:sz w:val="28"/>
          <w:szCs w:val="28"/>
        </w:rPr>
        <w:t xml:space="preserve"> </w:t>
      </w:r>
      <w:r w:rsidR="00C605D6">
        <w:rPr>
          <w:sz w:val="28"/>
          <w:szCs w:val="28"/>
        </w:rPr>
        <w:t>ФГБУ</w:t>
      </w:r>
      <w:r w:rsidR="00C605D6" w:rsidRPr="00BF0362">
        <w:rPr>
          <w:sz w:val="28"/>
          <w:szCs w:val="28"/>
        </w:rPr>
        <w:t xml:space="preserve"> «Институт изучения детства, семьи и воспитания», 1 </w:t>
      </w:r>
      <w:r w:rsidR="00C605D6">
        <w:rPr>
          <w:sz w:val="28"/>
          <w:szCs w:val="28"/>
        </w:rPr>
        <w:t xml:space="preserve">- </w:t>
      </w:r>
      <w:r w:rsidR="00C605D6" w:rsidRPr="00BF0362">
        <w:rPr>
          <w:sz w:val="28"/>
          <w:szCs w:val="28"/>
        </w:rPr>
        <w:t xml:space="preserve">инновационная площадка участника </w:t>
      </w:r>
      <w:r w:rsidR="00C605D6" w:rsidRPr="00BF0362">
        <w:rPr>
          <w:sz w:val="28"/>
          <w:szCs w:val="28"/>
          <w:lang w:val="en-US"/>
        </w:rPr>
        <w:t>IT</w:t>
      </w:r>
      <w:r w:rsidR="00C605D6" w:rsidRPr="00BF0362">
        <w:rPr>
          <w:sz w:val="28"/>
          <w:szCs w:val="28"/>
        </w:rPr>
        <w:t>-кластера инновационного центра «</w:t>
      </w:r>
      <w:proofErr w:type="spellStart"/>
      <w:r w:rsidR="00C605D6" w:rsidRPr="00BF0362">
        <w:rPr>
          <w:sz w:val="28"/>
          <w:szCs w:val="28"/>
        </w:rPr>
        <w:t>Сколково</w:t>
      </w:r>
      <w:proofErr w:type="spellEnd"/>
      <w:r w:rsidR="00C605D6" w:rsidRPr="00BF0362">
        <w:rPr>
          <w:sz w:val="28"/>
          <w:szCs w:val="28"/>
        </w:rPr>
        <w:t>» «Мобильное Электронное Образование федерального значения», 1</w:t>
      </w:r>
      <w:r w:rsidR="00C605D6">
        <w:rPr>
          <w:sz w:val="28"/>
          <w:szCs w:val="28"/>
        </w:rPr>
        <w:t xml:space="preserve"> - </w:t>
      </w:r>
      <w:r w:rsidR="00C605D6" w:rsidRPr="00BF0362">
        <w:rPr>
          <w:sz w:val="28"/>
          <w:szCs w:val="28"/>
        </w:rPr>
        <w:t xml:space="preserve">участник </w:t>
      </w:r>
      <w:proofErr w:type="spellStart"/>
      <w:r w:rsidR="00C605D6" w:rsidRPr="00BF0362">
        <w:rPr>
          <w:sz w:val="28"/>
          <w:szCs w:val="28"/>
        </w:rPr>
        <w:t>пилотной</w:t>
      </w:r>
      <w:proofErr w:type="spellEnd"/>
      <w:r w:rsidR="00C605D6" w:rsidRPr="00BF0362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</w:t>
      </w:r>
      <w:r w:rsidRPr="00B15442">
        <w:rPr>
          <w:sz w:val="28"/>
          <w:szCs w:val="28"/>
        </w:rPr>
        <w:lastRenderedPageBreak/>
        <w:t xml:space="preserve">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Достигнуты фактические</w:t>
      </w:r>
      <w:r w:rsidRPr="00BF0362">
        <w:rPr>
          <w:i/>
          <w:iCs/>
          <w:sz w:val="28"/>
          <w:szCs w:val="28"/>
        </w:rPr>
        <w:t xml:space="preserve"> </w:t>
      </w:r>
      <w:r w:rsidRPr="00BF036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01.07.2023: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общеобразовательных организаций, оснащенных в целях</w:t>
      </w:r>
      <w:r w:rsidRPr="00BF0362">
        <w:rPr>
          <w:i/>
          <w:iCs/>
          <w:sz w:val="28"/>
          <w:szCs w:val="28"/>
        </w:rPr>
        <w:t> </w:t>
      </w:r>
      <w:r w:rsidRPr="00BF0362">
        <w:rPr>
          <w:sz w:val="28"/>
          <w:szCs w:val="28"/>
        </w:rPr>
        <w:t>внедрения цифровой образовательной среды – 86,66% (план 2023 г. – 81,25%);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F0362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54% (план 2023 г.-        55%);</w:t>
      </w:r>
      <w:proofErr w:type="gramEnd"/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педагогических работников, использующих сервисы федеральной информационно-сервисной платформы цифровой образовательной среды - 60% (план 2023 г. – 75%);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F036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– 100%).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</w:t>
      </w:r>
      <w:r w:rsidRPr="002A7574">
        <w:rPr>
          <w:color w:val="000000" w:themeColor="text1"/>
          <w:sz w:val="28"/>
          <w:szCs w:val="28"/>
        </w:rPr>
        <w:lastRenderedPageBreak/>
        <w:t xml:space="preserve">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BF0362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BF0362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BF0362">
        <w:t xml:space="preserve"> 210 </w:t>
      </w:r>
      <w:r w:rsidRPr="00BF0362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2A7574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программ</w:t>
      </w:r>
      <w:r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81F51" w:rsidRPr="002A7574">
        <w:rPr>
          <w:rFonts w:eastAsia="Calibri"/>
          <w:color w:val="000000" w:themeColor="text1"/>
          <w:sz w:val="28"/>
          <w:szCs w:val="28"/>
        </w:rPr>
        <w:t xml:space="preserve">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C94D2B" w:rsidRDefault="00E81F51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="00625B4F">
        <w:rPr>
          <w:bCs/>
          <w:iCs/>
          <w:sz w:val="28"/>
          <w:szCs w:val="28"/>
        </w:rPr>
        <w:t>Р</w:t>
      </w:r>
      <w:r w:rsidRPr="002A7574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  <w:sectPr w:rsidR="00B23A36" w:rsidSect="0090544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3A36" w:rsidRDefault="00B23A36" w:rsidP="00B23A3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B23A36" w:rsidRDefault="00B23A36" w:rsidP="00B23A3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01.07.2023 года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7049"/>
        <w:gridCol w:w="1558"/>
        <w:gridCol w:w="1558"/>
        <w:gridCol w:w="3684"/>
      </w:tblGrid>
      <w:tr w:rsidR="00B23A36" w:rsidRPr="00850E30" w:rsidTr="00741088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0E3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0E30">
              <w:rPr>
                <w:bCs/>
                <w:color w:val="000000"/>
              </w:rPr>
              <w:t>/</w:t>
            </w:r>
            <w:proofErr w:type="spellStart"/>
            <w:r w:rsidRPr="00850E3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</w:p>
          <w:p w:rsidR="00B23A36" w:rsidRPr="00850E30" w:rsidRDefault="00B23A36" w:rsidP="00404591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 2023 год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B23A36" w:rsidRPr="00850E30" w:rsidTr="00741088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36" w:rsidRPr="00850E30" w:rsidRDefault="00B23A36" w:rsidP="00404591">
            <w:pPr>
              <w:rPr>
                <w:bCs/>
                <w:color w:val="000000"/>
              </w:rPr>
            </w:pP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36" w:rsidRPr="00850E30" w:rsidRDefault="00B23A36" w:rsidP="00404591">
            <w:pPr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B23A3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факт на 01.07.2023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36" w:rsidRPr="00850E30" w:rsidRDefault="00B23A36" w:rsidP="00404591">
            <w:pPr>
              <w:rPr>
                <w:bCs/>
                <w:color w:val="000000"/>
              </w:rPr>
            </w:pPr>
          </w:p>
        </w:tc>
      </w:tr>
      <w:tr w:rsidR="00B23A36" w:rsidRPr="00850E30" w:rsidTr="00741088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850E30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rPr>
                <w:bCs/>
                <w:i/>
                <w:color w:val="000000"/>
              </w:rPr>
            </w:pPr>
            <w:r w:rsidRPr="00850E30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B23A36" w:rsidRPr="00850E30" w:rsidTr="00741088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r w:rsidRPr="00850E30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E90333" w:rsidP="00404591">
            <w:pPr>
              <w:widowControl w:val="0"/>
              <w:jc w:val="center"/>
            </w:pPr>
            <w:r w:rsidRPr="00850E30">
              <w:t>46,4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727BBA" w:rsidP="00404591">
            <w:pPr>
              <w:widowControl w:val="0"/>
              <w:jc w:val="center"/>
            </w:pPr>
            <w:r w:rsidRPr="00850E30">
              <w:t>46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B23A36" w:rsidRPr="00850E30" w:rsidTr="00741088">
        <w:trPr>
          <w:trHeight w:val="132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r w:rsidRPr="00850E30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850E30">
              <w:t>Кванториум</w:t>
            </w:r>
            <w:proofErr w:type="spellEnd"/>
            <w:r w:rsidRPr="00850E30">
              <w:t>» и центров «</w:t>
            </w:r>
            <w:proofErr w:type="spellStart"/>
            <w:proofErr w:type="gramStart"/>
            <w:r w:rsidRPr="00850E30">
              <w:t>I</w:t>
            </w:r>
            <w:proofErr w:type="gramEnd"/>
            <w:r w:rsidRPr="00850E30">
              <w:t>Т-куб</w:t>
            </w:r>
            <w:proofErr w:type="spellEnd"/>
            <w:r w:rsidRPr="00850E30">
              <w:t>», процент</w:t>
            </w:r>
          </w:p>
          <w:p w:rsidR="0046537B" w:rsidRPr="00850E30" w:rsidRDefault="0046537B" w:rsidP="00404591">
            <w:pPr>
              <w:widowControl w:val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3A36" w:rsidRPr="00850E30" w:rsidRDefault="00B23A36" w:rsidP="00404591">
            <w:pPr>
              <w:widowControl w:val="0"/>
              <w:jc w:val="center"/>
            </w:pPr>
            <w:r w:rsidRPr="00850E30">
              <w:t>25,4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A36" w:rsidRPr="00850E30" w:rsidRDefault="00727BBA" w:rsidP="00404591">
            <w:pPr>
              <w:widowControl w:val="0"/>
              <w:jc w:val="center"/>
            </w:pPr>
            <w:r w:rsidRPr="00850E30">
              <w:t>13,4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B23A36" w:rsidRPr="00850E30" w:rsidTr="00741088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proofErr w:type="gramStart"/>
            <w:r w:rsidRPr="00850E30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</w:pPr>
            <w:r w:rsidRPr="00850E30"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E90333" w:rsidP="00404591">
            <w:pPr>
              <w:widowControl w:val="0"/>
              <w:jc w:val="center"/>
            </w:pPr>
            <w:r w:rsidRPr="00850E30"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AF" w:rsidRPr="00850E30" w:rsidRDefault="00CF51AF" w:rsidP="00CF51AF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B23A36" w:rsidRPr="00850E30" w:rsidRDefault="00B23A36" w:rsidP="00E90333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B23A36" w:rsidRPr="00850E30" w:rsidTr="00741088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r w:rsidRPr="00850E30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</w:pPr>
            <w:r w:rsidRPr="00850E30"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727BBA" w:rsidP="00404591">
            <w:pPr>
              <w:widowControl w:val="0"/>
              <w:jc w:val="center"/>
            </w:pPr>
            <w:r w:rsidRPr="00850E30">
              <w:t>15,6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 xml:space="preserve">По итогам 2023 года показатель </w:t>
            </w:r>
            <w:r w:rsidRPr="00850E30">
              <w:rPr>
                <w:color w:val="000000"/>
              </w:rPr>
              <w:lastRenderedPageBreak/>
              <w:t>будет исполнен в полном объёме</w:t>
            </w:r>
          </w:p>
        </w:tc>
      </w:tr>
      <w:tr w:rsidR="00B23A36" w:rsidRPr="00850E30" w:rsidTr="00741088">
        <w:trPr>
          <w:trHeight w:val="71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lastRenderedPageBreak/>
              <w:t>1.5.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r w:rsidRPr="00850E30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</w:pPr>
            <w:r w:rsidRPr="00850E30"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727BBA" w:rsidP="00404591">
            <w:pPr>
              <w:widowControl w:val="0"/>
              <w:jc w:val="center"/>
            </w:pPr>
            <w:r w:rsidRPr="00850E30">
              <w:t>82,5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B23A36" w:rsidRPr="00850E30" w:rsidTr="00741088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1.6.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</w:pPr>
            <w:r w:rsidRPr="00850E30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741088" w:rsidP="00404591">
            <w:pPr>
              <w:widowControl w:val="0"/>
              <w:jc w:val="center"/>
            </w:pPr>
            <w:r w:rsidRPr="00850E30">
              <w:t>81,25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center"/>
            </w:pPr>
            <w:r w:rsidRPr="00850E30">
              <w:t>86,66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36" w:rsidRPr="00850E30" w:rsidRDefault="00B23A36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-</w:t>
            </w:r>
          </w:p>
        </w:tc>
      </w:tr>
      <w:tr w:rsidR="00741088" w:rsidRPr="00850E30" w:rsidTr="00741088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</w:pPr>
            <w:proofErr w:type="gramStart"/>
            <w:r w:rsidRPr="00850E30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54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5C5491" w:rsidRPr="00850E30" w:rsidTr="00741088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1" w:rsidRPr="00850E30" w:rsidRDefault="005C5491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1" w:rsidRPr="00850E30" w:rsidRDefault="005C5491" w:rsidP="00404591">
            <w:pPr>
              <w:widowControl w:val="0"/>
              <w:jc w:val="both"/>
            </w:pPr>
            <w:r w:rsidRPr="00850E30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1" w:rsidRPr="00850E30" w:rsidRDefault="005C5491" w:rsidP="00404591">
            <w:pPr>
              <w:widowControl w:val="0"/>
              <w:jc w:val="center"/>
            </w:pPr>
            <w:r w:rsidRPr="00850E30"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1" w:rsidRPr="00850E30" w:rsidRDefault="005C5491" w:rsidP="00404591">
            <w:pPr>
              <w:widowControl w:val="0"/>
              <w:jc w:val="center"/>
            </w:pPr>
            <w:r w:rsidRPr="00850E30">
              <w:t>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1" w:rsidRPr="00850E30" w:rsidRDefault="005C5491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5C5491" w:rsidRPr="00850E30" w:rsidRDefault="005C5491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741088" w:rsidRPr="00850E30" w:rsidTr="00741088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1.9.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</w:pPr>
            <w:r w:rsidRPr="00850E30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1</w:t>
            </w:r>
            <w:r w:rsidR="005C5491" w:rsidRPr="00850E30"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100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-</w:t>
            </w:r>
          </w:p>
        </w:tc>
      </w:tr>
      <w:tr w:rsidR="00741088" w:rsidRPr="00850E30" w:rsidTr="00741088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1.10.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autoSpaceDE w:val="0"/>
              <w:autoSpaceDN w:val="0"/>
              <w:adjustRightInd w:val="0"/>
              <w:jc w:val="both"/>
            </w:pPr>
            <w:r w:rsidRPr="00850E30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100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-</w:t>
            </w:r>
          </w:p>
        </w:tc>
      </w:tr>
      <w:tr w:rsidR="00741088" w:rsidRPr="00850E30" w:rsidTr="00741088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t>1.11.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autoSpaceDE w:val="0"/>
              <w:autoSpaceDN w:val="0"/>
              <w:adjustRightInd w:val="0"/>
              <w:jc w:val="both"/>
            </w:pPr>
            <w:r w:rsidRPr="00850E30">
              <w:t xml:space="preserve">Обеспечено увеличение численности детей и молодежи в возрасте до 35 лет, вовлеченных в социально активную </w:t>
            </w:r>
            <w:r w:rsidRPr="00850E30">
              <w:lastRenderedPageBreak/>
              <w:t>деятельность через увеличение охвата патриотическими проектами, тыс. 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lastRenderedPageBreak/>
              <w:t>8,876</w:t>
            </w:r>
          </w:p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 xml:space="preserve">(8 876 </w:t>
            </w:r>
            <w:r w:rsidRPr="00850E30">
              <w:lastRenderedPageBreak/>
              <w:t>человек)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277EAD" w:rsidP="00404591">
            <w:pPr>
              <w:widowControl w:val="0"/>
              <w:jc w:val="center"/>
            </w:pPr>
            <w:r w:rsidRPr="00850E30">
              <w:lastRenderedPageBreak/>
              <w:t>5</w:t>
            </w:r>
            <w:r w:rsidR="00741088" w:rsidRPr="00850E30">
              <w:t>,</w:t>
            </w:r>
            <w:r w:rsidRPr="00850E30">
              <w:t>2</w:t>
            </w:r>
          </w:p>
          <w:p w:rsidR="00741088" w:rsidRPr="00850E30" w:rsidRDefault="00277EAD" w:rsidP="00277EAD">
            <w:pPr>
              <w:widowControl w:val="0"/>
              <w:jc w:val="center"/>
            </w:pPr>
            <w:r w:rsidRPr="00850E30">
              <w:t>(5200</w:t>
            </w:r>
            <w:r w:rsidR="00741088" w:rsidRPr="00850E30">
              <w:t xml:space="preserve"> </w:t>
            </w:r>
            <w:r w:rsidR="00741088" w:rsidRPr="00850E30">
              <w:lastRenderedPageBreak/>
              <w:t>человек)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lastRenderedPageBreak/>
              <w:t xml:space="preserve">Значение показателя определяется нарастающим </w:t>
            </w:r>
            <w:r w:rsidRPr="00850E30">
              <w:rPr>
                <w:color w:val="000000"/>
              </w:rPr>
              <w:lastRenderedPageBreak/>
              <w:t>итогом по мероприятиям, проводимым в течение 2023 года.</w:t>
            </w:r>
          </w:p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741088" w:rsidTr="00741088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  <w:rPr>
                <w:color w:val="000000"/>
              </w:rPr>
            </w:pPr>
            <w:r w:rsidRPr="00850E30">
              <w:rPr>
                <w:color w:val="000000"/>
              </w:rPr>
              <w:lastRenderedPageBreak/>
              <w:t>1.12.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autoSpaceDE w:val="0"/>
              <w:autoSpaceDN w:val="0"/>
              <w:adjustRightInd w:val="0"/>
              <w:jc w:val="both"/>
            </w:pPr>
            <w:r w:rsidRPr="00850E30">
              <w:t xml:space="preserve">Создание условий для развития системы </w:t>
            </w:r>
            <w:proofErr w:type="spellStart"/>
            <w:r w:rsidRPr="00850E30">
              <w:t>межпоколенческого</w:t>
            </w:r>
            <w:proofErr w:type="spellEnd"/>
            <w:r w:rsidRPr="00850E30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0,521</w:t>
            </w:r>
          </w:p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 xml:space="preserve"> (521 человек)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center"/>
            </w:pPr>
            <w:r w:rsidRPr="00850E30">
              <w:t>0,</w:t>
            </w:r>
            <w:r w:rsidR="00277EAD" w:rsidRPr="00850E30">
              <w:t>43</w:t>
            </w:r>
          </w:p>
          <w:p w:rsidR="00741088" w:rsidRPr="00850E30" w:rsidRDefault="00741088" w:rsidP="00277EAD">
            <w:pPr>
              <w:widowControl w:val="0"/>
              <w:jc w:val="center"/>
            </w:pPr>
            <w:r w:rsidRPr="00850E30">
              <w:t>(</w:t>
            </w:r>
            <w:r w:rsidR="00277EAD" w:rsidRPr="00850E30">
              <w:t>435</w:t>
            </w:r>
            <w:r w:rsidRPr="00850E30">
              <w:t xml:space="preserve"> человек)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741088" w:rsidRPr="00850E30" w:rsidRDefault="00741088" w:rsidP="00404591">
            <w:pPr>
              <w:widowControl w:val="0"/>
              <w:jc w:val="both"/>
              <w:rPr>
                <w:color w:val="000000"/>
              </w:rPr>
            </w:pPr>
            <w:r w:rsidRPr="00850E30"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</w:tbl>
    <w:p w:rsidR="00B23A36" w:rsidRDefault="00B23A36" w:rsidP="00B23A36">
      <w:pPr>
        <w:shd w:val="clear" w:color="auto" w:fill="FFFFFF"/>
        <w:jc w:val="center"/>
        <w:rPr>
          <w:sz w:val="28"/>
          <w:szCs w:val="28"/>
        </w:rPr>
      </w:pPr>
    </w:p>
    <w:p w:rsidR="00B23A36" w:rsidRDefault="00B23A36" w:rsidP="00B23A36">
      <w:pPr>
        <w:shd w:val="clear" w:color="auto" w:fill="FFFFFF"/>
        <w:rPr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3A36" w:rsidRDefault="00B23A36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sectPr w:rsidR="00B23A36" w:rsidSect="00B23A36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45" w:rsidRDefault="00F85745">
      <w:r>
        <w:separator/>
      </w:r>
    </w:p>
  </w:endnote>
  <w:endnote w:type="continuationSeparator" w:id="0">
    <w:p w:rsidR="00F85745" w:rsidRDefault="00F8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45" w:rsidRDefault="00F85745">
      <w:r>
        <w:separator/>
      </w:r>
    </w:p>
  </w:footnote>
  <w:footnote w:type="continuationSeparator" w:id="0">
    <w:p w:rsidR="00F85745" w:rsidRDefault="00F85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360A3"/>
    <w:rsid w:val="00244F43"/>
    <w:rsid w:val="00250C40"/>
    <w:rsid w:val="002543CB"/>
    <w:rsid w:val="00256A54"/>
    <w:rsid w:val="0026043B"/>
    <w:rsid w:val="00262BED"/>
    <w:rsid w:val="00277EA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2F0445"/>
    <w:rsid w:val="003015DF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60817"/>
    <w:rsid w:val="003648DC"/>
    <w:rsid w:val="00365791"/>
    <w:rsid w:val="00367132"/>
    <w:rsid w:val="0037380C"/>
    <w:rsid w:val="003849EF"/>
    <w:rsid w:val="00394618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537B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13AD6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37A5"/>
    <w:rsid w:val="00603913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5B4F"/>
    <w:rsid w:val="00631992"/>
    <w:rsid w:val="00641FB7"/>
    <w:rsid w:val="006563E2"/>
    <w:rsid w:val="0066004A"/>
    <w:rsid w:val="00661CB6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27BBA"/>
    <w:rsid w:val="00732A39"/>
    <w:rsid w:val="00736ABA"/>
    <w:rsid w:val="007373E1"/>
    <w:rsid w:val="00740A49"/>
    <w:rsid w:val="00741088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373F"/>
    <w:rsid w:val="007F54FF"/>
    <w:rsid w:val="007F7F41"/>
    <w:rsid w:val="00803DAD"/>
    <w:rsid w:val="00805048"/>
    <w:rsid w:val="0081109C"/>
    <w:rsid w:val="00814217"/>
    <w:rsid w:val="008221D4"/>
    <w:rsid w:val="0082410E"/>
    <w:rsid w:val="008242EA"/>
    <w:rsid w:val="00825491"/>
    <w:rsid w:val="0083181A"/>
    <w:rsid w:val="0083290E"/>
    <w:rsid w:val="00850E30"/>
    <w:rsid w:val="008563CB"/>
    <w:rsid w:val="008630F0"/>
    <w:rsid w:val="008634CA"/>
    <w:rsid w:val="0086684E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093"/>
    <w:rsid w:val="009C6CC0"/>
    <w:rsid w:val="009D4020"/>
    <w:rsid w:val="009E347E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23A36"/>
    <w:rsid w:val="00B36AA3"/>
    <w:rsid w:val="00B41CEC"/>
    <w:rsid w:val="00B457B4"/>
    <w:rsid w:val="00B53D20"/>
    <w:rsid w:val="00B55121"/>
    <w:rsid w:val="00B55956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05D6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CF51A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94D6F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0333"/>
    <w:rsid w:val="00E929FE"/>
    <w:rsid w:val="00E95366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85745"/>
    <w:rsid w:val="00FA3F68"/>
    <w:rsid w:val="00FA4BD4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9294-9B0D-4FD1-BB23-684235D5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24438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392</cp:revision>
  <cp:lastPrinted>2023-06-22T03:52:00Z</cp:lastPrinted>
  <dcterms:created xsi:type="dcterms:W3CDTF">2019-05-16T11:40:00Z</dcterms:created>
  <dcterms:modified xsi:type="dcterms:W3CDTF">2023-06-23T08:59:00Z</dcterms:modified>
</cp:coreProperties>
</file>