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EC" w:rsidRPr="00DD433B" w:rsidRDefault="00671EEC" w:rsidP="00671EEC">
      <w:pPr>
        <w:pageBreakBefore/>
        <w:jc w:val="right"/>
      </w:pPr>
      <w:r w:rsidRPr="00DD433B">
        <w:rPr>
          <w:szCs w:val="28"/>
        </w:rPr>
        <w:t>Приложение 9</w:t>
      </w:r>
    </w:p>
    <w:p w:rsidR="00671EEC" w:rsidRPr="00DD433B" w:rsidRDefault="00671EEC" w:rsidP="00671EEC">
      <w:pPr>
        <w:jc w:val="right"/>
        <w:rPr>
          <w:szCs w:val="28"/>
        </w:rPr>
      </w:pPr>
    </w:p>
    <w:p w:rsidR="00671EEC" w:rsidRPr="00DD433B" w:rsidRDefault="00671EEC" w:rsidP="00671EEC">
      <w:pPr>
        <w:jc w:val="right"/>
      </w:pPr>
      <w:r w:rsidRPr="00DD433B">
        <w:rPr>
          <w:rFonts w:eastAsia="Calibri"/>
          <w:lang w:eastAsia="en-US"/>
        </w:rPr>
        <w:t>УТВЕРЖДЕН</w:t>
      </w:r>
    </w:p>
    <w:p w:rsidR="00671EEC" w:rsidRPr="00DD433B" w:rsidRDefault="00671EEC" w:rsidP="00671EEC">
      <w:pPr>
        <w:jc w:val="right"/>
      </w:pPr>
      <w:r w:rsidRPr="00DD433B">
        <w:rPr>
          <w:rFonts w:eastAsia="Calibri"/>
          <w:lang w:eastAsia="en-US"/>
        </w:rPr>
        <w:t xml:space="preserve">решением председателя Антитеррористической комиссии </w:t>
      </w:r>
    </w:p>
    <w:p w:rsidR="00671EEC" w:rsidRPr="00DD433B" w:rsidRDefault="00671EEC" w:rsidP="00671EEC">
      <w:pPr>
        <w:jc w:val="right"/>
      </w:pPr>
      <w:r w:rsidRPr="00DD433B">
        <w:rPr>
          <w:rFonts w:eastAsia="Calibri"/>
          <w:lang w:eastAsia="en-US"/>
        </w:rPr>
        <w:t>Ханты-Мансийского автономного округа – Югры</w:t>
      </w:r>
    </w:p>
    <w:p w:rsidR="00671EEC" w:rsidRDefault="00671EEC" w:rsidP="00671EEC">
      <w:pPr>
        <w:widowControl w:val="0"/>
        <w:autoSpaceDE w:val="0"/>
        <w:jc w:val="right"/>
        <w:rPr>
          <w:rFonts w:eastAsia="Calibri"/>
          <w:lang w:eastAsia="en-US"/>
        </w:rPr>
      </w:pPr>
      <w:r w:rsidRPr="00F45795">
        <w:rPr>
          <w:rFonts w:eastAsia="Calibri"/>
          <w:lang w:eastAsia="en-US"/>
        </w:rPr>
        <w:t>№ 01.16-Исх-329</w:t>
      </w:r>
      <w:r>
        <w:rPr>
          <w:rFonts w:eastAsia="Calibri"/>
          <w:lang w:eastAsia="en-US"/>
        </w:rPr>
        <w:t xml:space="preserve"> </w:t>
      </w:r>
      <w:r w:rsidRPr="00F45795">
        <w:rPr>
          <w:rFonts w:eastAsia="Calibri"/>
          <w:lang w:eastAsia="en-US"/>
        </w:rPr>
        <w:t>от 03.04.2019</w:t>
      </w:r>
    </w:p>
    <w:p w:rsidR="006B0B90" w:rsidRDefault="006B0B90" w:rsidP="00671EEC">
      <w:pPr>
        <w:widowControl w:val="0"/>
        <w:autoSpaceDE w:val="0"/>
        <w:jc w:val="right"/>
        <w:rPr>
          <w:rFonts w:eastAsia="Calibri"/>
          <w:lang w:eastAsia="en-US"/>
        </w:rPr>
      </w:pPr>
    </w:p>
    <w:p w:rsidR="006B0B90" w:rsidRDefault="006B0B90" w:rsidP="00671EEC">
      <w:pPr>
        <w:widowControl w:val="0"/>
        <w:autoSpaceDE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АКТУАЛИЗИРОВАН</w:t>
      </w:r>
    </w:p>
    <w:p w:rsidR="006B0B90" w:rsidRDefault="006B0B90" w:rsidP="00671EEC">
      <w:pPr>
        <w:widowControl w:val="0"/>
        <w:autoSpaceDE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решением совместного заседания </w:t>
      </w:r>
    </w:p>
    <w:p w:rsidR="006B0B90" w:rsidRPr="00DD433B" w:rsidRDefault="006B0B90" w:rsidP="006B0B90">
      <w:pPr>
        <w:jc w:val="right"/>
      </w:pPr>
      <w:r w:rsidRPr="00DD433B">
        <w:rPr>
          <w:rFonts w:eastAsia="Calibri"/>
          <w:lang w:eastAsia="en-US"/>
        </w:rPr>
        <w:t xml:space="preserve">Антитеррористической комиссии </w:t>
      </w:r>
    </w:p>
    <w:p w:rsidR="006B0B90" w:rsidRDefault="006B0B90" w:rsidP="006B0B90">
      <w:pPr>
        <w:jc w:val="right"/>
        <w:rPr>
          <w:rFonts w:eastAsia="Calibri"/>
          <w:lang w:eastAsia="en-US"/>
        </w:rPr>
      </w:pPr>
      <w:r w:rsidRPr="00DD433B">
        <w:rPr>
          <w:rFonts w:eastAsia="Calibri"/>
          <w:lang w:eastAsia="en-US"/>
        </w:rPr>
        <w:t>Ханты-Мансийского автономного округа – Югры</w:t>
      </w:r>
    </w:p>
    <w:p w:rsidR="0035190A" w:rsidRDefault="006B0B90" w:rsidP="006B0B9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от </w:t>
      </w:r>
      <w:r w:rsidR="00AE713E">
        <w:rPr>
          <w:rFonts w:eastAsia="Calibri"/>
          <w:lang w:eastAsia="en-US"/>
        </w:rPr>
        <w:t>04.04.2022</w:t>
      </w:r>
      <w:r>
        <w:rPr>
          <w:rFonts w:eastAsia="Calibri"/>
          <w:lang w:eastAsia="en-US"/>
        </w:rPr>
        <w:t xml:space="preserve"> № 1</w:t>
      </w:r>
      <w:r w:rsidR="00AE713E">
        <w:rPr>
          <w:rFonts w:eastAsia="Calibri"/>
          <w:lang w:eastAsia="en-US"/>
        </w:rPr>
        <w:t>10</w:t>
      </w:r>
      <w:r w:rsidR="00B91F7D">
        <w:rPr>
          <w:rFonts w:eastAsia="Calibri"/>
          <w:lang w:eastAsia="en-US"/>
        </w:rPr>
        <w:t xml:space="preserve"> п.3.10</w:t>
      </w:r>
      <w:r w:rsidR="00AE713E">
        <w:rPr>
          <w:rFonts w:eastAsia="Calibri"/>
          <w:lang w:eastAsia="en-US"/>
        </w:rPr>
        <w:t xml:space="preserve"> </w:t>
      </w:r>
    </w:p>
    <w:p w:rsidR="0032236E" w:rsidRDefault="0032236E" w:rsidP="0032236E">
      <w:pPr>
        <w:widowControl w:val="0"/>
        <w:autoSpaceDE w:val="0"/>
        <w:jc w:val="right"/>
        <w:rPr>
          <w:rFonts w:eastAsia="Calibri"/>
          <w:lang w:eastAsia="en-US"/>
        </w:rPr>
      </w:pPr>
    </w:p>
    <w:p w:rsidR="0032236E" w:rsidRDefault="0032236E" w:rsidP="0032236E">
      <w:pPr>
        <w:widowControl w:val="0"/>
        <w:autoSpaceDE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АКТУАЛИЗИРОВАН</w:t>
      </w:r>
    </w:p>
    <w:p w:rsidR="0032236E" w:rsidRDefault="0032236E" w:rsidP="0032236E">
      <w:pPr>
        <w:widowControl w:val="0"/>
        <w:autoSpaceDE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решением совместного заседания </w:t>
      </w:r>
    </w:p>
    <w:p w:rsidR="0032236E" w:rsidRPr="00DD433B" w:rsidRDefault="0032236E" w:rsidP="0032236E">
      <w:pPr>
        <w:jc w:val="right"/>
      </w:pPr>
      <w:r w:rsidRPr="00DD433B">
        <w:rPr>
          <w:rFonts w:eastAsia="Calibri"/>
          <w:lang w:eastAsia="en-US"/>
        </w:rPr>
        <w:t xml:space="preserve">Антитеррористической комиссии </w:t>
      </w:r>
    </w:p>
    <w:p w:rsidR="0032236E" w:rsidRDefault="0032236E" w:rsidP="0032236E">
      <w:pPr>
        <w:jc w:val="right"/>
        <w:rPr>
          <w:rFonts w:eastAsia="Calibri"/>
          <w:lang w:eastAsia="en-US"/>
        </w:rPr>
      </w:pPr>
      <w:r w:rsidRPr="00DD433B">
        <w:rPr>
          <w:rFonts w:eastAsia="Calibri"/>
          <w:lang w:eastAsia="en-US"/>
        </w:rPr>
        <w:t>Ханты-Мансийского автономного округа – Югры</w:t>
      </w:r>
    </w:p>
    <w:p w:rsidR="0032236E" w:rsidRDefault="0032236E" w:rsidP="0032236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от 02.08.2022 № 112</w:t>
      </w:r>
    </w:p>
    <w:p w:rsidR="00F26996" w:rsidRDefault="00F26996" w:rsidP="00F26996">
      <w:pPr>
        <w:widowControl w:val="0"/>
        <w:autoSpaceDE w:val="0"/>
        <w:jc w:val="right"/>
        <w:rPr>
          <w:rFonts w:eastAsia="Calibri"/>
          <w:lang w:eastAsia="en-US"/>
        </w:rPr>
      </w:pPr>
    </w:p>
    <w:p w:rsidR="00F26996" w:rsidRDefault="00F26996" w:rsidP="00F26996">
      <w:pPr>
        <w:widowControl w:val="0"/>
        <w:autoSpaceDE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АКТУАЛИЗИРОВАН</w:t>
      </w:r>
    </w:p>
    <w:p w:rsidR="00F26996" w:rsidRDefault="00F26996" w:rsidP="00F26996">
      <w:pPr>
        <w:widowControl w:val="0"/>
        <w:autoSpaceDE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решением совместного заседания </w:t>
      </w:r>
    </w:p>
    <w:p w:rsidR="00F26996" w:rsidRPr="00DD433B" w:rsidRDefault="00F26996" w:rsidP="00F26996">
      <w:pPr>
        <w:jc w:val="right"/>
      </w:pPr>
      <w:r w:rsidRPr="00DD433B">
        <w:rPr>
          <w:rFonts w:eastAsia="Calibri"/>
          <w:lang w:eastAsia="en-US"/>
        </w:rPr>
        <w:t xml:space="preserve">Антитеррористической комиссии </w:t>
      </w:r>
    </w:p>
    <w:p w:rsidR="00F26996" w:rsidRDefault="00F26996" w:rsidP="00F26996">
      <w:pPr>
        <w:jc w:val="right"/>
        <w:rPr>
          <w:rFonts w:eastAsia="Calibri"/>
          <w:lang w:eastAsia="en-US"/>
        </w:rPr>
      </w:pPr>
      <w:r w:rsidRPr="00DD433B">
        <w:rPr>
          <w:rFonts w:eastAsia="Calibri"/>
          <w:lang w:eastAsia="en-US"/>
        </w:rPr>
        <w:t>Ханты-Мансийского автономного округа – Югры</w:t>
      </w:r>
    </w:p>
    <w:p w:rsidR="00F26996" w:rsidRDefault="00F26996" w:rsidP="00F2699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от </w:t>
      </w:r>
      <w:r>
        <w:rPr>
          <w:rFonts w:eastAsia="Calibri"/>
          <w:lang w:eastAsia="en-US"/>
        </w:rPr>
        <w:t>05.04.2023</w:t>
      </w:r>
      <w:r>
        <w:rPr>
          <w:rFonts w:eastAsia="Calibri"/>
          <w:lang w:eastAsia="en-US"/>
        </w:rPr>
        <w:t xml:space="preserve"> № 11</w:t>
      </w:r>
      <w:r>
        <w:rPr>
          <w:rFonts w:eastAsia="Calibri"/>
          <w:lang w:eastAsia="en-US"/>
        </w:rPr>
        <w:t>6</w:t>
      </w:r>
      <w:bookmarkStart w:id="0" w:name="_GoBack"/>
      <w:bookmarkEnd w:id="0"/>
    </w:p>
    <w:p w:rsidR="00F26996" w:rsidRDefault="00F26996" w:rsidP="0032236E">
      <w:pPr>
        <w:jc w:val="right"/>
        <w:rPr>
          <w:rFonts w:eastAsia="Calibri"/>
          <w:lang w:eastAsia="en-US"/>
        </w:rPr>
      </w:pPr>
    </w:p>
    <w:p w:rsidR="006B0B90" w:rsidRPr="00DD433B" w:rsidRDefault="006B0B90" w:rsidP="00671EEC">
      <w:pPr>
        <w:widowControl w:val="0"/>
        <w:autoSpaceDE w:val="0"/>
        <w:jc w:val="right"/>
        <w:rPr>
          <w:rFonts w:eastAsia="Calibri"/>
          <w:i/>
          <w:sz w:val="16"/>
          <w:szCs w:val="16"/>
          <w:lang w:eastAsia="en-US"/>
        </w:rPr>
      </w:pPr>
    </w:p>
    <w:p w:rsidR="006B0B90" w:rsidRDefault="006B0B90" w:rsidP="00671EEC">
      <w:pPr>
        <w:pStyle w:val="FR1"/>
        <w:widowControl/>
        <w:spacing w:before="0" w:line="240" w:lineRule="auto"/>
        <w:ind w:left="0" w:right="0"/>
        <w:rPr>
          <w:bCs w:val="0"/>
          <w:sz w:val="28"/>
          <w:szCs w:val="28"/>
        </w:rPr>
      </w:pPr>
    </w:p>
    <w:p w:rsidR="00671EEC" w:rsidRPr="00DD433B" w:rsidRDefault="00671EEC" w:rsidP="00671EEC">
      <w:pPr>
        <w:pStyle w:val="FR1"/>
        <w:widowControl/>
        <w:spacing w:before="0" w:line="240" w:lineRule="auto"/>
        <w:ind w:left="0" w:right="0"/>
      </w:pPr>
      <w:r w:rsidRPr="00DD433B">
        <w:rPr>
          <w:bCs w:val="0"/>
          <w:sz w:val="28"/>
          <w:szCs w:val="28"/>
        </w:rPr>
        <w:t>СОСТАВ</w:t>
      </w:r>
    </w:p>
    <w:p w:rsidR="00671EEC" w:rsidRPr="00DD433B" w:rsidRDefault="00671EEC" w:rsidP="00671EEC">
      <w:pPr>
        <w:jc w:val="center"/>
      </w:pPr>
      <w:r w:rsidRPr="00DD433B">
        <w:rPr>
          <w:bCs/>
          <w:sz w:val="28"/>
          <w:szCs w:val="28"/>
        </w:rPr>
        <w:t>Антитеррористической комиссии города Нефтеюганска</w:t>
      </w:r>
    </w:p>
    <w:p w:rsidR="00671EEC" w:rsidRPr="00DD433B" w:rsidRDefault="00671EEC" w:rsidP="00671EEC">
      <w:pPr>
        <w:jc w:val="center"/>
      </w:pPr>
      <w:r w:rsidRPr="00DD433B">
        <w:rPr>
          <w:bCs/>
          <w:sz w:val="28"/>
          <w:szCs w:val="28"/>
        </w:rPr>
        <w:t>(далее – комиссия)</w:t>
      </w:r>
    </w:p>
    <w:p w:rsidR="00671EEC" w:rsidRPr="00DD433B" w:rsidRDefault="00671EEC" w:rsidP="00671EEC">
      <w:pPr>
        <w:ind w:firstLine="737"/>
        <w:jc w:val="both"/>
        <w:rPr>
          <w:szCs w:val="28"/>
        </w:rPr>
      </w:pPr>
    </w:p>
    <w:p w:rsidR="00671EEC" w:rsidRPr="000D13F8" w:rsidRDefault="00671EEC" w:rsidP="00671EEC">
      <w:pPr>
        <w:ind w:firstLine="737"/>
        <w:jc w:val="both"/>
      </w:pPr>
      <w:r w:rsidRPr="00DD433B">
        <w:rPr>
          <w:sz w:val="28"/>
          <w:szCs w:val="28"/>
        </w:rPr>
        <w:t xml:space="preserve">Глава города Нефтеюганска, </w:t>
      </w:r>
      <w:r w:rsidRPr="0032236E">
        <w:rPr>
          <w:sz w:val="28"/>
          <w:szCs w:val="28"/>
        </w:rPr>
        <w:t>председатель</w:t>
      </w:r>
      <w:r w:rsidR="00243AB3" w:rsidRPr="0032236E">
        <w:rPr>
          <w:sz w:val="28"/>
          <w:szCs w:val="28"/>
        </w:rPr>
        <w:t xml:space="preserve"> комиссии</w:t>
      </w:r>
    </w:p>
    <w:p w:rsidR="00671EEC" w:rsidRPr="000D13F8" w:rsidRDefault="00671EEC" w:rsidP="00671EEC">
      <w:pPr>
        <w:ind w:firstLine="737"/>
        <w:jc w:val="both"/>
        <w:rPr>
          <w:sz w:val="28"/>
          <w:szCs w:val="28"/>
        </w:rPr>
      </w:pPr>
      <w:r w:rsidRPr="000D13F8">
        <w:rPr>
          <w:sz w:val="28"/>
          <w:szCs w:val="28"/>
        </w:rPr>
        <w:t>Начальник 5 отделения Службы по Ханты-Мансийскому автономному округу Регионального Управления Федеральной</w:t>
      </w:r>
      <w:r w:rsidR="0032236E">
        <w:rPr>
          <w:sz w:val="28"/>
          <w:szCs w:val="28"/>
        </w:rPr>
        <w:t xml:space="preserve"> службы</w:t>
      </w:r>
      <w:r w:rsidRPr="000D13F8">
        <w:rPr>
          <w:sz w:val="28"/>
          <w:szCs w:val="28"/>
        </w:rPr>
        <w:t xml:space="preserve"> </w:t>
      </w:r>
      <w:r w:rsidRPr="0032236E">
        <w:rPr>
          <w:sz w:val="28"/>
          <w:szCs w:val="28"/>
        </w:rPr>
        <w:t xml:space="preserve">Безопасности России по Тюменской области, заместитель председателя </w:t>
      </w:r>
      <w:r w:rsidR="00AE3A3E" w:rsidRPr="0032236E">
        <w:rPr>
          <w:sz w:val="28"/>
          <w:szCs w:val="28"/>
        </w:rPr>
        <w:t xml:space="preserve">комиссии </w:t>
      </w:r>
      <w:r w:rsidRPr="000D13F8">
        <w:rPr>
          <w:sz w:val="28"/>
          <w:szCs w:val="28"/>
        </w:rPr>
        <w:t>(по согласованию)</w:t>
      </w:r>
    </w:p>
    <w:p w:rsidR="007C3FB1" w:rsidRPr="0032236E" w:rsidRDefault="0032236E" w:rsidP="00671EEC">
      <w:pPr>
        <w:ind w:firstLine="737"/>
        <w:jc w:val="both"/>
      </w:pPr>
      <w:r>
        <w:rPr>
          <w:sz w:val="28"/>
          <w:szCs w:val="28"/>
        </w:rPr>
        <w:t>Первый з</w:t>
      </w:r>
      <w:r w:rsidR="007C3FB1" w:rsidRPr="000D13F8">
        <w:rPr>
          <w:sz w:val="28"/>
          <w:szCs w:val="28"/>
        </w:rPr>
        <w:t>аместитель главы координирующий и контролирующий деятельност</w:t>
      </w:r>
      <w:r>
        <w:rPr>
          <w:sz w:val="28"/>
          <w:szCs w:val="28"/>
        </w:rPr>
        <w:t>ь</w:t>
      </w:r>
      <w:r w:rsidR="007C3FB1" w:rsidRPr="000D13F8">
        <w:rPr>
          <w:sz w:val="28"/>
          <w:szCs w:val="28"/>
        </w:rPr>
        <w:t xml:space="preserve">, департамента по делам администрации города, юридическо-правового управления администрации города, отдела </w:t>
      </w:r>
      <w:r w:rsidR="00F26996">
        <w:rPr>
          <w:sz w:val="28"/>
          <w:szCs w:val="28"/>
        </w:rPr>
        <w:t>организации деятельности по вопросам общественной безопасности</w:t>
      </w:r>
      <w:r w:rsidR="007C3FB1" w:rsidRPr="000D13F8">
        <w:rPr>
          <w:sz w:val="28"/>
          <w:szCs w:val="28"/>
        </w:rPr>
        <w:t xml:space="preserve"> администрации города Нефтеюганска, отдела по обеспечению деятельности административной комиссии администрации города Нефтеюганска, отдела записи актов гражданского состояния </w:t>
      </w:r>
      <w:r w:rsidR="007C3FB1" w:rsidRPr="0032236E">
        <w:rPr>
          <w:sz w:val="28"/>
          <w:szCs w:val="28"/>
        </w:rPr>
        <w:t>администрации города Нефтеюганска</w:t>
      </w:r>
      <w:r w:rsidR="00AE3A3E" w:rsidRPr="0032236E">
        <w:rPr>
          <w:sz w:val="28"/>
          <w:szCs w:val="28"/>
        </w:rPr>
        <w:t>, заместитель председателя комиссии</w:t>
      </w:r>
    </w:p>
    <w:p w:rsidR="00671EEC" w:rsidRPr="000D13F8" w:rsidRDefault="00671EEC" w:rsidP="00671EEC">
      <w:pPr>
        <w:ind w:firstLine="737"/>
        <w:jc w:val="both"/>
      </w:pPr>
      <w:r w:rsidRPr="0032236E">
        <w:rPr>
          <w:sz w:val="28"/>
          <w:szCs w:val="28"/>
        </w:rPr>
        <w:t xml:space="preserve">Начальник отдела </w:t>
      </w:r>
      <w:r w:rsidR="00F26996">
        <w:rPr>
          <w:sz w:val="28"/>
          <w:szCs w:val="28"/>
        </w:rPr>
        <w:t>организации деятельности по вопросам общественной безопасности</w:t>
      </w:r>
      <w:r w:rsidRPr="000D13F8">
        <w:rPr>
          <w:sz w:val="28"/>
          <w:szCs w:val="28"/>
        </w:rPr>
        <w:t xml:space="preserve"> администрации города, руководитель Аппарата Антитеррористической комиссии</w:t>
      </w:r>
      <w:r w:rsidR="00243AB3" w:rsidRPr="000D13F8">
        <w:rPr>
          <w:sz w:val="28"/>
          <w:szCs w:val="28"/>
        </w:rPr>
        <w:t xml:space="preserve"> города Нефтеюганска</w:t>
      </w:r>
    </w:p>
    <w:p w:rsidR="00671EEC" w:rsidRPr="000D13F8" w:rsidRDefault="00671EEC" w:rsidP="00671EEC">
      <w:pPr>
        <w:ind w:firstLine="737"/>
        <w:jc w:val="both"/>
      </w:pPr>
      <w:r w:rsidRPr="000D13F8">
        <w:rPr>
          <w:sz w:val="28"/>
          <w:szCs w:val="28"/>
        </w:rPr>
        <w:t>Председатель Думы города Нефтеюганска (по согласованию)</w:t>
      </w:r>
    </w:p>
    <w:p w:rsidR="00671EEC" w:rsidRPr="000D13F8" w:rsidRDefault="00A155AB" w:rsidP="00671EEC">
      <w:pPr>
        <w:ind w:firstLine="737"/>
        <w:jc w:val="both"/>
      </w:pPr>
      <w:r w:rsidRPr="000D13F8">
        <w:rPr>
          <w:sz w:val="28"/>
          <w:szCs w:val="28"/>
        </w:rPr>
        <w:t>Заместитель главы города</w:t>
      </w:r>
      <w:r w:rsidR="00243AB3" w:rsidRPr="000D13F8">
        <w:rPr>
          <w:sz w:val="28"/>
          <w:szCs w:val="28"/>
        </w:rPr>
        <w:t xml:space="preserve"> Нефтеюганска</w:t>
      </w:r>
      <w:r w:rsidR="00671EEC" w:rsidRPr="000D13F8">
        <w:rPr>
          <w:sz w:val="28"/>
          <w:szCs w:val="28"/>
        </w:rPr>
        <w:t>, координирующий и контролирующий деятельност</w:t>
      </w:r>
      <w:r w:rsidR="00243AB3" w:rsidRPr="000D13F8">
        <w:rPr>
          <w:sz w:val="28"/>
          <w:szCs w:val="28"/>
        </w:rPr>
        <w:t>ь</w:t>
      </w:r>
      <w:r w:rsidR="00671EEC" w:rsidRPr="000D13F8">
        <w:rPr>
          <w:sz w:val="28"/>
          <w:szCs w:val="28"/>
        </w:rPr>
        <w:t xml:space="preserve"> департамента жилищно-коммунального хозяйства адм</w:t>
      </w:r>
      <w:r w:rsidR="00F26996">
        <w:rPr>
          <w:sz w:val="28"/>
          <w:szCs w:val="28"/>
        </w:rPr>
        <w:t>инистрации города Нефтеюганска</w:t>
      </w:r>
    </w:p>
    <w:p w:rsidR="00CA7EC4" w:rsidRPr="00A155AB" w:rsidRDefault="00671EEC" w:rsidP="00CA7EC4">
      <w:pPr>
        <w:ind w:firstLine="737"/>
        <w:jc w:val="both"/>
        <w:rPr>
          <w:sz w:val="28"/>
          <w:szCs w:val="28"/>
        </w:rPr>
      </w:pPr>
      <w:r w:rsidRPr="000D13F8">
        <w:rPr>
          <w:sz w:val="28"/>
          <w:szCs w:val="28"/>
        </w:rPr>
        <w:t>Заместитель главы города</w:t>
      </w:r>
      <w:r w:rsidR="00243AB3" w:rsidRPr="000D13F8">
        <w:rPr>
          <w:sz w:val="28"/>
          <w:szCs w:val="28"/>
        </w:rPr>
        <w:t xml:space="preserve"> Нефтеюганска</w:t>
      </w:r>
      <w:r w:rsidRPr="000D13F8">
        <w:rPr>
          <w:sz w:val="28"/>
          <w:szCs w:val="28"/>
        </w:rPr>
        <w:t>, координирующий и контролирующий деятельност</w:t>
      </w:r>
      <w:r w:rsidR="00243AB3" w:rsidRPr="000D13F8">
        <w:rPr>
          <w:sz w:val="28"/>
          <w:szCs w:val="28"/>
        </w:rPr>
        <w:t>ь</w:t>
      </w:r>
      <w:r w:rsidRPr="000D13F8">
        <w:rPr>
          <w:sz w:val="28"/>
          <w:szCs w:val="28"/>
        </w:rPr>
        <w:t xml:space="preserve"> департамента образования администрации </w:t>
      </w:r>
      <w:r w:rsidRPr="000D13F8">
        <w:rPr>
          <w:sz w:val="28"/>
          <w:szCs w:val="28"/>
        </w:rPr>
        <w:lastRenderedPageBreak/>
        <w:t>города Нефтеюганска, комитета культуры и</w:t>
      </w:r>
      <w:r w:rsidRPr="00A155AB">
        <w:rPr>
          <w:sz w:val="28"/>
          <w:szCs w:val="28"/>
        </w:rPr>
        <w:t xml:space="preserve"> туризма администрации города Нефтеюганска, комитета физической культуры и спорта администрации города Нефтеюганска, </w:t>
      </w:r>
      <w:r w:rsidR="00CA7EC4" w:rsidRPr="00A155AB">
        <w:rPr>
          <w:sz w:val="28"/>
          <w:szCs w:val="28"/>
        </w:rPr>
        <w:t>отдела по организации деятельности комиссии по делам несовершеннолетних и защите их прав администрации города Нефтеюганска</w:t>
      </w:r>
    </w:p>
    <w:p w:rsidR="000D13F8" w:rsidRDefault="000D13F8" w:rsidP="00671EE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1EEC" w:rsidRPr="00A155AB">
        <w:rPr>
          <w:sz w:val="28"/>
          <w:szCs w:val="28"/>
        </w:rPr>
        <w:t>иректор департамента по делам администрации</w:t>
      </w:r>
      <w:r w:rsidR="007C3FB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Нефтеюганска</w:t>
      </w:r>
      <w:r w:rsidR="00671EEC" w:rsidRPr="00A155AB">
        <w:rPr>
          <w:sz w:val="28"/>
          <w:szCs w:val="28"/>
        </w:rPr>
        <w:t xml:space="preserve"> 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>Директор департамента образования администрации города</w:t>
      </w:r>
      <w:r w:rsidRPr="00A155AB">
        <w:rPr>
          <w:sz w:val="22"/>
          <w:szCs w:val="22"/>
        </w:rPr>
        <w:t xml:space="preserve"> </w:t>
      </w:r>
      <w:r w:rsidRPr="00A155AB">
        <w:rPr>
          <w:sz w:val="28"/>
          <w:szCs w:val="28"/>
        </w:rPr>
        <w:t>Нефтеюганска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>Директор департамента жилищно-коммунального хозяйства администрации города</w:t>
      </w:r>
      <w:r w:rsidRPr="00A155AB">
        <w:rPr>
          <w:sz w:val="22"/>
          <w:szCs w:val="22"/>
        </w:rPr>
        <w:t xml:space="preserve"> </w:t>
      </w:r>
      <w:r w:rsidRPr="00A155AB">
        <w:rPr>
          <w:sz w:val="28"/>
          <w:szCs w:val="28"/>
        </w:rPr>
        <w:t>Нефтеюганска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>Председатель комитета культуры и туризма администрации города</w:t>
      </w:r>
      <w:r w:rsidRPr="00A155AB">
        <w:rPr>
          <w:sz w:val="22"/>
          <w:szCs w:val="22"/>
        </w:rPr>
        <w:t xml:space="preserve"> </w:t>
      </w:r>
      <w:r w:rsidRPr="00A155AB">
        <w:rPr>
          <w:sz w:val="28"/>
          <w:szCs w:val="28"/>
        </w:rPr>
        <w:t>Нефтеюганска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>Председатель комитета физической культуры и спорта администрации города</w:t>
      </w:r>
      <w:r w:rsidRPr="00A155AB">
        <w:rPr>
          <w:sz w:val="22"/>
          <w:szCs w:val="22"/>
        </w:rPr>
        <w:t xml:space="preserve"> </w:t>
      </w:r>
      <w:r w:rsidRPr="00A155AB">
        <w:rPr>
          <w:sz w:val="28"/>
          <w:szCs w:val="28"/>
        </w:rPr>
        <w:t>Нефтеюганска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>Начальник отдела по делам гражданской обороны и чрезвычайных ситуаций администрации города</w:t>
      </w:r>
      <w:r w:rsidRPr="00A155AB">
        <w:rPr>
          <w:sz w:val="22"/>
          <w:szCs w:val="22"/>
        </w:rPr>
        <w:t xml:space="preserve"> </w:t>
      </w:r>
      <w:r w:rsidRPr="00A155AB">
        <w:rPr>
          <w:sz w:val="28"/>
          <w:szCs w:val="28"/>
        </w:rPr>
        <w:t>Нефтеюганска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>Директор департамента экономического развития администрации города Нефтеюганска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>Начальник отдела Министерства внутренних дел Российской Федерации по городу Нефтеюганску (по согласованию)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>Начальник Нефтеюганского межмуниципального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– Югре» (по согласованию)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</w:rPr>
        <w:t>Начальник Нефтеюганского отделения лицензионно-разрешительной работы Управления Федеральной службы войск национальной гвардии по Ханты-Мансийскому автономному округу – Югре (по согласованию)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 xml:space="preserve">Начальник </w:t>
      </w:r>
      <w:r w:rsidRPr="00A155AB">
        <w:rPr>
          <w:bCs/>
          <w:sz w:val="28"/>
          <w:szCs w:val="28"/>
          <w:lang w:eastAsia="ru-RU"/>
        </w:rPr>
        <w:t>Нефтеюганского местного пожарно-спасательного гарнизона</w:t>
      </w:r>
      <w:r w:rsidRPr="00A155AB">
        <w:rPr>
          <w:sz w:val="28"/>
          <w:szCs w:val="28"/>
        </w:rPr>
        <w:t xml:space="preserve"> </w:t>
      </w:r>
      <w:r w:rsidRPr="00A155AB">
        <w:rPr>
          <w:sz w:val="28"/>
          <w:szCs w:val="28"/>
          <w:lang w:eastAsia="ru-RU"/>
        </w:rPr>
        <w:t>(по согласованию)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 xml:space="preserve">Начальник муниципального казённого учреждения «Единая дежурно-диспетчерская служба» </w:t>
      </w:r>
      <w:r w:rsidR="0032236E">
        <w:rPr>
          <w:sz w:val="28"/>
          <w:szCs w:val="28"/>
        </w:rPr>
        <w:t xml:space="preserve">города Нефтеюганска </w:t>
      </w:r>
      <w:r w:rsidRPr="00A155AB">
        <w:rPr>
          <w:sz w:val="28"/>
          <w:szCs w:val="28"/>
        </w:rPr>
        <w:t>(по согласованию)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 xml:space="preserve">Главный врач бюджетного учреждения Ханты-Мансийского автономного округа – Югры «Нефтеюганская окружная больница имени </w:t>
      </w:r>
      <w:proofErr w:type="spellStart"/>
      <w:r w:rsidRPr="00A155AB">
        <w:rPr>
          <w:sz w:val="28"/>
          <w:szCs w:val="28"/>
        </w:rPr>
        <w:t>В.И.Яцкив</w:t>
      </w:r>
      <w:proofErr w:type="spellEnd"/>
      <w:r w:rsidRPr="00A155AB">
        <w:rPr>
          <w:sz w:val="28"/>
          <w:szCs w:val="28"/>
        </w:rPr>
        <w:t>» (по согласованию)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>Главный врач бюджетного учреждения Ханты-Мансийского автономного округа – Югры «Нефтеюганская городская станция скорой медицинской помощи» (по согласованию)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 xml:space="preserve">Заместитель председателя местного отделения Добровольного общества содействия армии, авиации и флоту России города Нефтеюганска </w:t>
      </w:r>
      <w:r w:rsidRPr="00A155AB">
        <w:rPr>
          <w:sz w:val="28"/>
          <w:szCs w:val="28"/>
        </w:rPr>
        <w:br/>
        <w:t>Ханты-Мансийского автономного округа – Югры» (по согласованию)</w:t>
      </w:r>
    </w:p>
    <w:p w:rsidR="00671EEC" w:rsidRPr="00A155AB" w:rsidRDefault="00671EEC" w:rsidP="00671EEC">
      <w:pPr>
        <w:ind w:firstLine="737"/>
        <w:jc w:val="both"/>
      </w:pPr>
      <w:r w:rsidRPr="00A155AB">
        <w:rPr>
          <w:sz w:val="28"/>
          <w:szCs w:val="28"/>
        </w:rPr>
        <w:t>Военный комиссар городов Нефтеюганск и Пыть-Ях, Нефтеюганского района Ханты-Мансийскому автономному округу – Югры (по согласованию)</w:t>
      </w:r>
    </w:p>
    <w:p w:rsidR="00671EEC" w:rsidRPr="00DD433B" w:rsidRDefault="00671EEC" w:rsidP="00671EEC">
      <w:pPr>
        <w:autoSpaceDE w:val="0"/>
        <w:ind w:firstLine="737"/>
        <w:jc w:val="both"/>
      </w:pPr>
      <w:r w:rsidRPr="00A155AB">
        <w:rPr>
          <w:sz w:val="28"/>
          <w:szCs w:val="28"/>
          <w:lang w:eastAsia="ru-RU"/>
        </w:rPr>
        <w:t xml:space="preserve">Начальник территориального отдела </w:t>
      </w:r>
      <w:r w:rsidRPr="00DD433B">
        <w:rPr>
          <w:sz w:val="28"/>
          <w:szCs w:val="28"/>
          <w:lang w:eastAsia="ru-RU"/>
        </w:rPr>
        <w:t xml:space="preserve">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Нефтеюганске, Нефтеюганском районе и городе </w:t>
      </w:r>
      <w:proofErr w:type="spellStart"/>
      <w:r w:rsidRPr="00DD433B">
        <w:rPr>
          <w:sz w:val="28"/>
          <w:szCs w:val="28"/>
          <w:lang w:eastAsia="ru-RU"/>
        </w:rPr>
        <w:t>Пыть-Яхе</w:t>
      </w:r>
      <w:proofErr w:type="spellEnd"/>
      <w:r w:rsidRPr="00DD433B">
        <w:rPr>
          <w:sz w:val="28"/>
          <w:szCs w:val="28"/>
          <w:lang w:eastAsia="ru-RU"/>
        </w:rPr>
        <w:t xml:space="preserve"> (по согласованию).</w:t>
      </w:r>
    </w:p>
    <w:p w:rsidR="00CD1E57" w:rsidRDefault="00CD1E57"/>
    <w:sectPr w:rsidR="00CD1E57" w:rsidSect="00F2699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EC"/>
    <w:rsid w:val="000D13F8"/>
    <w:rsid w:val="00243AB3"/>
    <w:rsid w:val="0032236E"/>
    <w:rsid w:val="0035190A"/>
    <w:rsid w:val="003F03C9"/>
    <w:rsid w:val="00671EEC"/>
    <w:rsid w:val="006940DE"/>
    <w:rsid w:val="006B0B90"/>
    <w:rsid w:val="007C3FB1"/>
    <w:rsid w:val="00A155AB"/>
    <w:rsid w:val="00AE3A3E"/>
    <w:rsid w:val="00AE713E"/>
    <w:rsid w:val="00B91F7D"/>
    <w:rsid w:val="00CA7EC4"/>
    <w:rsid w:val="00CD1E21"/>
    <w:rsid w:val="00CD1E57"/>
    <w:rsid w:val="00F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50CC"/>
  <w15:chartTrackingRefBased/>
  <w15:docId w15:val="{EDAFA420-6DF2-4BC8-8E16-1F5473EC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71EEC"/>
    <w:pPr>
      <w:widowControl w:val="0"/>
      <w:suppressAutoHyphens/>
      <w:autoSpaceDE w:val="0"/>
      <w:spacing w:before="180" w:after="0" w:line="276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A7E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C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15</cp:revision>
  <cp:lastPrinted>2022-07-14T07:35:00Z</cp:lastPrinted>
  <dcterms:created xsi:type="dcterms:W3CDTF">2021-11-09T06:09:00Z</dcterms:created>
  <dcterms:modified xsi:type="dcterms:W3CDTF">2023-04-03T06:15:00Z</dcterms:modified>
</cp:coreProperties>
</file>