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E1" w:rsidRDefault="0059731E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207656">
        <w:rPr>
          <w:b/>
          <w:sz w:val="28"/>
        </w:rPr>
        <w:t>3</w:t>
      </w:r>
      <w:r w:rsidR="00FE0EF1">
        <w:rPr>
          <w:b/>
          <w:sz w:val="28"/>
        </w:rPr>
        <w:t xml:space="preserve"> квартал 202</w:t>
      </w:r>
      <w:r w:rsidR="00A25233">
        <w:rPr>
          <w:b/>
          <w:sz w:val="28"/>
        </w:rPr>
        <w:t>2</w:t>
      </w:r>
      <w:r>
        <w:rPr>
          <w:b/>
          <w:sz w:val="28"/>
        </w:rPr>
        <w:t xml:space="preserve"> года</w:t>
      </w:r>
    </w:p>
    <w:p w:rsidR="007D39AB" w:rsidRDefault="0059731E" w:rsidP="007D39AB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849E1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>
      <w:pPr>
        <w:tabs>
          <w:tab w:val="right" w:pos="9355"/>
        </w:tabs>
        <w:ind w:firstLine="540"/>
        <w:jc w:val="center"/>
        <w:rPr>
          <w:b/>
          <w:sz w:val="28"/>
        </w:rPr>
      </w:pPr>
    </w:p>
    <w:p w:rsidR="002849E1" w:rsidRDefault="0059731E" w:rsidP="00307981">
      <w:pPr>
        <w:tabs>
          <w:tab w:val="right" w:pos="9355"/>
        </w:tabs>
        <w:jc w:val="center"/>
        <w:rPr>
          <w:b/>
          <w:sz w:val="28"/>
        </w:rPr>
      </w:pPr>
      <w:r>
        <w:rPr>
          <w:b/>
          <w:sz w:val="28"/>
        </w:rPr>
        <w:t>Контрольная деятельность</w:t>
      </w:r>
    </w:p>
    <w:p w:rsidR="002849E1" w:rsidRDefault="002849E1">
      <w:pPr>
        <w:tabs>
          <w:tab w:val="right" w:pos="9355"/>
        </w:tabs>
        <w:ind w:firstLine="540"/>
        <w:jc w:val="center"/>
        <w:rPr>
          <w:sz w:val="28"/>
        </w:rPr>
      </w:pPr>
    </w:p>
    <w:p w:rsidR="002849E1" w:rsidRDefault="0059731E">
      <w:pPr>
        <w:ind w:firstLine="709"/>
        <w:jc w:val="both"/>
      </w:pPr>
      <w:r>
        <w:rPr>
          <w:sz w:val="28"/>
        </w:rPr>
        <w:t>В</w:t>
      </w:r>
      <w:r w:rsidR="00D05ADD">
        <w:rPr>
          <w:sz w:val="28"/>
        </w:rPr>
        <w:t xml:space="preserve"> </w:t>
      </w:r>
      <w:r w:rsidR="00207656">
        <w:rPr>
          <w:sz w:val="28"/>
        </w:rPr>
        <w:t>третьем</w:t>
      </w:r>
      <w:r>
        <w:rPr>
          <w:sz w:val="28"/>
        </w:rPr>
        <w:t xml:space="preserve"> квартале 20</w:t>
      </w:r>
      <w:r w:rsidR="007D55C0">
        <w:rPr>
          <w:sz w:val="28"/>
        </w:rPr>
        <w:t>22</w:t>
      </w:r>
      <w:r>
        <w:rPr>
          <w:sz w:val="28"/>
        </w:rPr>
        <w:t xml:space="preserve"> года проведен</w:t>
      </w:r>
      <w:r w:rsidR="00A10245">
        <w:rPr>
          <w:sz w:val="28"/>
        </w:rPr>
        <w:t xml:space="preserve">о </w:t>
      </w:r>
      <w:r w:rsidR="00207656">
        <w:rPr>
          <w:sz w:val="28"/>
        </w:rPr>
        <w:t>два</w:t>
      </w:r>
      <w:r w:rsidR="00685478">
        <w:rPr>
          <w:sz w:val="28"/>
        </w:rPr>
        <w:t xml:space="preserve"> </w:t>
      </w:r>
      <w:r>
        <w:rPr>
          <w:sz w:val="28"/>
        </w:rPr>
        <w:t>контро</w:t>
      </w:r>
      <w:r w:rsidR="00A71B5D">
        <w:rPr>
          <w:sz w:val="28"/>
        </w:rPr>
        <w:t>льны</w:t>
      </w:r>
      <w:r w:rsidR="00C06B7B">
        <w:rPr>
          <w:sz w:val="28"/>
        </w:rPr>
        <w:t>х</w:t>
      </w:r>
      <w:r>
        <w:rPr>
          <w:sz w:val="28"/>
        </w:rPr>
        <w:t xml:space="preserve"> мероприяти</w:t>
      </w:r>
      <w:r w:rsidR="001012F6">
        <w:rPr>
          <w:sz w:val="28"/>
        </w:rPr>
        <w:t>я</w:t>
      </w:r>
      <w:r w:rsidR="00D864EF">
        <w:rPr>
          <w:sz w:val="28"/>
        </w:rPr>
        <w:t xml:space="preserve"> на </w:t>
      </w:r>
      <w:r w:rsidR="00207656">
        <w:rPr>
          <w:sz w:val="28"/>
        </w:rPr>
        <w:t>трёх об</w:t>
      </w:r>
      <w:r w:rsidR="00D864EF">
        <w:rPr>
          <w:sz w:val="28"/>
        </w:rPr>
        <w:t>ъектах.</w:t>
      </w:r>
      <w:r w:rsidR="002E578E" w:rsidRPr="002E578E">
        <w:t xml:space="preserve"> </w:t>
      </w:r>
    </w:p>
    <w:p w:rsidR="00CD4F44" w:rsidRDefault="00CD4F44" w:rsidP="00CD4F44">
      <w:pPr>
        <w:tabs>
          <w:tab w:val="left" w:pos="567"/>
        </w:tabs>
        <w:jc w:val="center"/>
        <w:rPr>
          <w:b/>
          <w:szCs w:val="28"/>
        </w:rPr>
      </w:pPr>
    </w:p>
    <w:p w:rsidR="00CD4F44" w:rsidRPr="00CD4F44" w:rsidRDefault="00CD4F44" w:rsidP="00CD4F44">
      <w:pPr>
        <w:tabs>
          <w:tab w:val="left" w:pos="567"/>
        </w:tabs>
        <w:jc w:val="center"/>
        <w:rPr>
          <w:b/>
          <w:i/>
          <w:sz w:val="28"/>
          <w:szCs w:val="28"/>
        </w:rPr>
      </w:pPr>
      <w:r w:rsidRPr="00CD4F44">
        <w:rPr>
          <w:b/>
          <w:i/>
          <w:sz w:val="28"/>
          <w:szCs w:val="28"/>
        </w:rPr>
        <w:t xml:space="preserve">Проверка законности и эффективности использования бюджетных средств, выделенных на проведение ремонтных работ на автомобильных дорогах, в рамках муниципальной программы </w:t>
      </w:r>
    </w:p>
    <w:p w:rsidR="008E7655" w:rsidRPr="00CD4F44" w:rsidRDefault="00CD4F44" w:rsidP="00CD4F44">
      <w:pPr>
        <w:ind w:firstLine="709"/>
        <w:jc w:val="both"/>
        <w:rPr>
          <w:b/>
          <w:sz w:val="28"/>
          <w:szCs w:val="28"/>
        </w:rPr>
      </w:pPr>
      <w:r w:rsidRPr="00CD4F44">
        <w:rPr>
          <w:b/>
          <w:i/>
          <w:sz w:val="28"/>
          <w:szCs w:val="28"/>
        </w:rPr>
        <w:t>«Развитие транспортной системы в городе Нефтеюганске»</w:t>
      </w:r>
    </w:p>
    <w:p w:rsidR="00202396" w:rsidRDefault="00202396" w:rsidP="007A59C5">
      <w:pPr>
        <w:tabs>
          <w:tab w:val="left" w:pos="284"/>
        </w:tabs>
        <w:ind w:firstLine="709"/>
        <w:jc w:val="both"/>
        <w:rPr>
          <w:sz w:val="28"/>
        </w:rPr>
      </w:pPr>
    </w:p>
    <w:p w:rsidR="00CD4F44" w:rsidRDefault="00CD4F44" w:rsidP="00A07F53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мероприятие проведено на объектах: д</w:t>
      </w:r>
      <w:r w:rsidRPr="00CD4F44">
        <w:rPr>
          <w:sz w:val="28"/>
          <w:szCs w:val="28"/>
        </w:rPr>
        <w:t>епартамент жилищно-коммунального хозяйства администрации города Нефтеюганска (далее – ДЖКХ)</w:t>
      </w:r>
      <w:r>
        <w:rPr>
          <w:sz w:val="28"/>
          <w:szCs w:val="28"/>
        </w:rPr>
        <w:t xml:space="preserve">, </w:t>
      </w:r>
      <w:r w:rsidRPr="00CD4F44">
        <w:rPr>
          <w:sz w:val="28"/>
          <w:szCs w:val="28"/>
        </w:rPr>
        <w:t>Нефтеюганское городское муниципальное казённое учреждение коммунального хозяйства «Служба единого заказчика» (далее – НГ МКУ КХ «СЕЗ»</w:t>
      </w:r>
      <w:r w:rsidR="00B53728">
        <w:rPr>
          <w:sz w:val="28"/>
          <w:szCs w:val="28"/>
        </w:rPr>
        <w:t>, учреждение</w:t>
      </w:r>
      <w:r w:rsidRPr="00CD4F44">
        <w:rPr>
          <w:sz w:val="28"/>
          <w:szCs w:val="28"/>
        </w:rPr>
        <w:t>).</w:t>
      </w:r>
    </w:p>
    <w:p w:rsidR="00CD4F44" w:rsidRDefault="00024291" w:rsidP="00A07F53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CD4F44">
        <w:rPr>
          <w:sz w:val="28"/>
          <w:szCs w:val="28"/>
        </w:rPr>
        <w:t xml:space="preserve"> контрольного мероприятия установлено: </w:t>
      </w:r>
    </w:p>
    <w:p w:rsidR="00405FAC" w:rsidRPr="00CD4F44" w:rsidRDefault="00CD4F44" w:rsidP="00A07F53">
      <w:pPr>
        <w:ind w:firstLine="709"/>
        <w:jc w:val="both"/>
        <w:rPr>
          <w:sz w:val="28"/>
          <w:szCs w:val="28"/>
        </w:rPr>
      </w:pPr>
      <w:r w:rsidRPr="00CD4F44">
        <w:rPr>
          <w:sz w:val="28"/>
          <w:szCs w:val="28"/>
        </w:rPr>
        <w:t>1.</w:t>
      </w:r>
      <w:r w:rsidR="00405FAC" w:rsidRPr="00405FAC">
        <w:rPr>
          <w:sz w:val="28"/>
          <w:szCs w:val="28"/>
        </w:rPr>
        <w:t xml:space="preserve"> </w:t>
      </w:r>
      <w:r w:rsidR="00405FAC" w:rsidRPr="00CD4F44">
        <w:rPr>
          <w:sz w:val="28"/>
          <w:szCs w:val="28"/>
        </w:rPr>
        <w:t xml:space="preserve">В нарушение  </w:t>
      </w:r>
      <w:r w:rsidR="00405FAC">
        <w:rPr>
          <w:sz w:val="28"/>
          <w:szCs w:val="28"/>
        </w:rPr>
        <w:t>Закона о бухгалтерском учёте</w:t>
      </w:r>
      <w:r w:rsidR="00405FAC">
        <w:rPr>
          <w:rStyle w:val="af9"/>
          <w:sz w:val="28"/>
          <w:szCs w:val="28"/>
        </w:rPr>
        <w:footnoteReference w:id="4"/>
      </w:r>
      <w:r w:rsidR="00405FAC" w:rsidRPr="00CD4F44">
        <w:rPr>
          <w:sz w:val="28"/>
          <w:szCs w:val="28"/>
        </w:rPr>
        <w:t>, федерального стандарта бухгалтерского учёта</w:t>
      </w:r>
      <w:r w:rsidR="00024291">
        <w:rPr>
          <w:rStyle w:val="af9"/>
          <w:sz w:val="28"/>
          <w:szCs w:val="28"/>
        </w:rPr>
        <w:footnoteReference w:id="5"/>
      </w:r>
      <w:r w:rsidR="00405FAC" w:rsidRPr="00CD4F44">
        <w:rPr>
          <w:sz w:val="28"/>
          <w:szCs w:val="28"/>
        </w:rPr>
        <w:t xml:space="preserve">, Инструкции по применению </w:t>
      </w:r>
      <w:r w:rsidR="00024291">
        <w:rPr>
          <w:sz w:val="28"/>
          <w:szCs w:val="28"/>
        </w:rPr>
        <w:t>е</w:t>
      </w:r>
      <w:r w:rsidR="00405FAC" w:rsidRPr="00CD4F44">
        <w:rPr>
          <w:sz w:val="28"/>
          <w:szCs w:val="28"/>
        </w:rPr>
        <w:t>диного плана счетов</w:t>
      </w:r>
      <w:r w:rsidR="00024291">
        <w:rPr>
          <w:rStyle w:val="af9"/>
          <w:sz w:val="28"/>
          <w:szCs w:val="28"/>
        </w:rPr>
        <w:footnoteReference w:id="6"/>
      </w:r>
      <w:r w:rsidR="00405FAC" w:rsidRPr="00CD4F44">
        <w:rPr>
          <w:sz w:val="28"/>
          <w:szCs w:val="28"/>
        </w:rPr>
        <w:t xml:space="preserve">, Инструкции по применению </w:t>
      </w:r>
      <w:r w:rsidR="00024291">
        <w:rPr>
          <w:sz w:val="28"/>
          <w:szCs w:val="28"/>
        </w:rPr>
        <w:t>п</w:t>
      </w:r>
      <w:r w:rsidR="00405FAC" w:rsidRPr="00CD4F44">
        <w:rPr>
          <w:sz w:val="28"/>
          <w:szCs w:val="28"/>
        </w:rPr>
        <w:t xml:space="preserve">лана счетов бюджетного учёта, </w:t>
      </w:r>
      <w:r w:rsidR="00024291">
        <w:rPr>
          <w:rStyle w:val="af9"/>
          <w:sz w:val="28"/>
          <w:szCs w:val="28"/>
        </w:rPr>
        <w:footnoteReference w:id="7"/>
      </w:r>
      <w:r w:rsidR="00405FAC" w:rsidRPr="00CD4F44">
        <w:rPr>
          <w:sz w:val="28"/>
          <w:szCs w:val="28"/>
        </w:rPr>
        <w:t>НГ МКУ КХ «СЕЗ» не обеспечен бюджетный (бухгалтерский) учёт асфальтобетонной крошки (гранулята), полученной в результате разбора дорожного полотна, в количестве 3 223 тонны на общую сумму 921 765 рублей 95 копеек. Кроме того, в нарушение пункта 4.2 Устава НГ МКУ КХ «СЕЗ» не заключ</w:t>
      </w:r>
      <w:r w:rsidR="002158C9">
        <w:rPr>
          <w:sz w:val="28"/>
          <w:szCs w:val="28"/>
        </w:rPr>
        <w:t>ались</w:t>
      </w:r>
      <w:r w:rsidR="00405FAC" w:rsidRPr="00CD4F44">
        <w:rPr>
          <w:sz w:val="28"/>
          <w:szCs w:val="28"/>
        </w:rPr>
        <w:t xml:space="preserve"> договоры с коммерческими организациями при предоставлении асфальтобетонной крошки (гранулята).</w:t>
      </w:r>
    </w:p>
    <w:p w:rsidR="00405FAC" w:rsidRDefault="00405FAC" w:rsidP="00A07F53">
      <w:pPr>
        <w:pStyle w:val="a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допущенных нарушений, в части учёта материалов – асфальтобетонной крошки (гранулята), </w:t>
      </w:r>
      <w:r w:rsidRPr="00CD4F44">
        <w:rPr>
          <w:sz w:val="28"/>
          <w:szCs w:val="28"/>
        </w:rPr>
        <w:t xml:space="preserve">НГ МКУ КХ «СЕЗ» </w:t>
      </w:r>
      <w:r>
        <w:rPr>
          <w:sz w:val="28"/>
          <w:szCs w:val="28"/>
        </w:rPr>
        <w:t>не обеспечен контроль за его использованием, в связи с чем</w:t>
      </w:r>
      <w:r w:rsidR="00024291">
        <w:rPr>
          <w:sz w:val="28"/>
          <w:szCs w:val="28"/>
        </w:rPr>
        <w:t>,</w:t>
      </w:r>
      <w:r>
        <w:rPr>
          <w:sz w:val="28"/>
          <w:szCs w:val="28"/>
        </w:rPr>
        <w:t xml:space="preserve"> невозможно сделать вывод о фактических объёмах и целях использования указанного материала</w:t>
      </w:r>
      <w:r w:rsidRPr="00CD4F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D4F44" w:rsidRPr="00CD4F44" w:rsidRDefault="00024291" w:rsidP="00A07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</w:t>
      </w:r>
      <w:r w:rsidR="00CD4F44" w:rsidRPr="00CD4F44">
        <w:rPr>
          <w:sz w:val="28"/>
          <w:szCs w:val="28"/>
        </w:rPr>
        <w:t xml:space="preserve">тсутствовал единообразный подход к принятию решения о распределении </w:t>
      </w:r>
      <w:r w:rsidR="00CD4F44">
        <w:rPr>
          <w:sz w:val="28"/>
          <w:szCs w:val="28"/>
        </w:rPr>
        <w:t>возвратного материала</w:t>
      </w:r>
      <w:r>
        <w:rPr>
          <w:sz w:val="28"/>
          <w:szCs w:val="28"/>
        </w:rPr>
        <w:t xml:space="preserve">, а именно </w:t>
      </w:r>
      <w:r w:rsidR="00CD4F44" w:rsidRPr="00CD4F44">
        <w:rPr>
          <w:sz w:val="28"/>
          <w:szCs w:val="28"/>
        </w:rPr>
        <w:t>материал распределялся как на основании писем ДЖКХ, направленных НГ МКУ КХ «СЕЗ» и Нефтеюганскому городскому муниципальному унитарному предприятию «Универсал сервис»</w:t>
      </w:r>
      <w:r>
        <w:rPr>
          <w:sz w:val="28"/>
          <w:szCs w:val="28"/>
        </w:rPr>
        <w:t xml:space="preserve"> где хранился материал, </w:t>
      </w:r>
      <w:r w:rsidR="00CD4F44" w:rsidRPr="00CD4F44">
        <w:rPr>
          <w:sz w:val="28"/>
          <w:szCs w:val="28"/>
        </w:rPr>
        <w:t>так и без прямого указания ДЖКХ.</w:t>
      </w:r>
    </w:p>
    <w:p w:rsidR="00CD4F44" w:rsidRPr="00CD4F44" w:rsidRDefault="00CD4F44" w:rsidP="00A07F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F44">
        <w:rPr>
          <w:sz w:val="28"/>
          <w:szCs w:val="28"/>
        </w:rPr>
        <w:t>2. В нарушение статьи 34 Б</w:t>
      </w:r>
      <w:r w:rsidR="00024291">
        <w:rPr>
          <w:sz w:val="28"/>
          <w:szCs w:val="28"/>
        </w:rPr>
        <w:t>К</w:t>
      </w:r>
      <w:r w:rsidRPr="00CD4F44">
        <w:rPr>
          <w:sz w:val="28"/>
          <w:szCs w:val="28"/>
        </w:rPr>
        <w:t xml:space="preserve"> РФ НГ МКУ КХ «СЕЗ» неэффективно израсходованы средства в размере 599 998 рублей на оплату повторного лабораторного исследования асфальтобетонного покрытия, поскольку необходимость в нём отсутствовала, а протоколы</w:t>
      </w:r>
      <w:r w:rsidR="00024291">
        <w:rPr>
          <w:sz w:val="28"/>
          <w:szCs w:val="28"/>
        </w:rPr>
        <w:t xml:space="preserve"> по двум</w:t>
      </w:r>
      <w:r w:rsidRPr="00CD4F44">
        <w:rPr>
          <w:sz w:val="28"/>
          <w:szCs w:val="28"/>
        </w:rPr>
        <w:t xml:space="preserve"> испытани</w:t>
      </w:r>
      <w:r w:rsidR="00024291">
        <w:rPr>
          <w:sz w:val="28"/>
          <w:szCs w:val="28"/>
        </w:rPr>
        <w:t>ям</w:t>
      </w:r>
      <w:r w:rsidRPr="00CD4F44">
        <w:rPr>
          <w:sz w:val="28"/>
          <w:szCs w:val="28"/>
        </w:rPr>
        <w:t xml:space="preserve"> идентичные.</w:t>
      </w:r>
    </w:p>
    <w:p w:rsidR="005F46BF" w:rsidRDefault="005F46BF" w:rsidP="00A07F53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24291">
        <w:rPr>
          <w:sz w:val="28"/>
          <w:szCs w:val="28"/>
        </w:rPr>
        <w:t xml:space="preserve">бъектам контроля направлено два представления о принятии мер </w:t>
      </w:r>
      <w:r>
        <w:rPr>
          <w:sz w:val="28"/>
          <w:szCs w:val="28"/>
        </w:rPr>
        <w:t xml:space="preserve">по устранению выявленных недостатков и привлечению к ответственности виновных должностных лиц. По результатам рассмотрения представления </w:t>
      </w:r>
      <w:r w:rsidRPr="00CD4F44">
        <w:rPr>
          <w:sz w:val="28"/>
          <w:szCs w:val="28"/>
        </w:rPr>
        <w:t>НГ МКУ КХ «СЕЗ»</w:t>
      </w:r>
      <w:r>
        <w:rPr>
          <w:sz w:val="28"/>
          <w:szCs w:val="28"/>
        </w:rPr>
        <w:t xml:space="preserve"> должностное лицо учреждения привлечено к дисциплинарной ответственности</w:t>
      </w:r>
      <w:r w:rsidR="00B53728">
        <w:rPr>
          <w:sz w:val="28"/>
          <w:szCs w:val="28"/>
        </w:rPr>
        <w:t xml:space="preserve"> в виде замечания. Представление, выданное ДЖКХ, находится на контроле Счётной палаты в связи с продлением срока его выполнения по обращению объекта контроля. </w:t>
      </w:r>
      <w:r>
        <w:rPr>
          <w:sz w:val="28"/>
          <w:szCs w:val="28"/>
        </w:rPr>
        <w:t xml:space="preserve">  </w:t>
      </w:r>
    </w:p>
    <w:p w:rsidR="00CD4F44" w:rsidRPr="00CD4F44" w:rsidRDefault="00024291" w:rsidP="00A07F53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0AA7" w:rsidRDefault="00E70AA7" w:rsidP="00E70AA7">
      <w:pPr>
        <w:jc w:val="center"/>
        <w:rPr>
          <w:b/>
          <w:i/>
          <w:sz w:val="28"/>
          <w:szCs w:val="28"/>
        </w:rPr>
      </w:pPr>
      <w:r w:rsidRPr="00E70AA7">
        <w:rPr>
          <w:b/>
          <w:i/>
          <w:sz w:val="28"/>
          <w:szCs w:val="28"/>
        </w:rPr>
        <w:t xml:space="preserve">Аудит в сфере закупок товаров (работ, услуг) </w:t>
      </w:r>
      <w:r w:rsidRPr="00E70AA7">
        <w:rPr>
          <w:b/>
          <w:i/>
          <w:sz w:val="28"/>
          <w:szCs w:val="28"/>
        </w:rPr>
        <w:br/>
      </w:r>
    </w:p>
    <w:p w:rsidR="00E70AA7" w:rsidRDefault="00E70AA7" w:rsidP="00E70AA7">
      <w:pPr>
        <w:jc w:val="center"/>
        <w:rPr>
          <w:b/>
          <w:i/>
          <w:sz w:val="28"/>
          <w:szCs w:val="28"/>
        </w:rPr>
      </w:pPr>
    </w:p>
    <w:p w:rsidR="006B20AB" w:rsidRDefault="00E70AA7" w:rsidP="00A07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Pr="00E70AA7">
        <w:rPr>
          <w:sz w:val="28"/>
          <w:szCs w:val="28"/>
        </w:rPr>
        <w:t>на объекте</w:t>
      </w:r>
      <w:r>
        <w:rPr>
          <w:sz w:val="28"/>
          <w:szCs w:val="28"/>
        </w:rPr>
        <w:t>:</w:t>
      </w:r>
      <w:r w:rsidR="006B20AB" w:rsidRPr="006B20AB">
        <w:rPr>
          <w:sz w:val="28"/>
          <w:szCs w:val="28"/>
        </w:rPr>
        <w:t xml:space="preserve"> </w:t>
      </w:r>
      <w:r w:rsidR="006B20AB">
        <w:rPr>
          <w:sz w:val="28"/>
          <w:szCs w:val="28"/>
        </w:rPr>
        <w:t>муниципальное бюджетное общеобразовательное учреждение «Лицей № 1»</w:t>
      </w:r>
      <w:r>
        <w:rPr>
          <w:sz w:val="28"/>
          <w:szCs w:val="28"/>
        </w:rPr>
        <w:t>.</w:t>
      </w:r>
      <w:r w:rsidR="00200072">
        <w:rPr>
          <w:sz w:val="28"/>
          <w:szCs w:val="28"/>
        </w:rPr>
        <w:t xml:space="preserve"> </w:t>
      </w:r>
    </w:p>
    <w:p w:rsidR="00B649B2" w:rsidRPr="006B20AB" w:rsidRDefault="00B649B2" w:rsidP="00A07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</w:t>
      </w:r>
      <w:r w:rsidRPr="006B20AB">
        <w:rPr>
          <w:sz w:val="28"/>
          <w:szCs w:val="28"/>
        </w:rPr>
        <w:t>мероприятия установлено:</w:t>
      </w:r>
    </w:p>
    <w:p w:rsidR="00B649B2" w:rsidRPr="006B20AB" w:rsidRDefault="00B649B2" w:rsidP="00A07F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0AB">
        <w:rPr>
          <w:sz w:val="28"/>
          <w:szCs w:val="28"/>
        </w:rPr>
        <w:t>1. В проверяемом периоде Учреждением заключен 81 контракт на общую сумму 27 697 571 рубль 99 копеек. Закупки осуществлялись конкурентным способом определения поставщиков (подрядчиков, исполнителей), а также у единственного поставщика (подрядчика, исполнителя).</w:t>
      </w:r>
    </w:p>
    <w:p w:rsidR="00E70AA7" w:rsidRPr="006B20AB" w:rsidRDefault="00E70AA7" w:rsidP="00A07F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B20AB">
        <w:rPr>
          <w:sz w:val="28"/>
          <w:szCs w:val="28"/>
        </w:rPr>
        <w:t>Закупки, осуществлённые Учреждением, направлены на достижение целей и реализацию отдельных мероприятий, предусмотренных муниципальной программой «Развитие образования и молодёжной политики в городе Нефтеюганске».</w:t>
      </w:r>
    </w:p>
    <w:p w:rsidR="00E70AA7" w:rsidRDefault="00E70AA7" w:rsidP="00A07F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B20AB">
        <w:rPr>
          <w:iCs/>
          <w:sz w:val="28"/>
          <w:szCs w:val="28"/>
        </w:rPr>
        <w:t xml:space="preserve">2. В </w:t>
      </w:r>
      <w:r w:rsidRPr="006B20AB">
        <w:rPr>
          <w:sz w:val="28"/>
          <w:szCs w:val="28"/>
        </w:rPr>
        <w:t>нарушение части 3 статьи 103 Закона о контрактной системе</w:t>
      </w:r>
      <w:r w:rsidRPr="006B20AB">
        <w:rPr>
          <w:rStyle w:val="af9"/>
          <w:sz w:val="28"/>
          <w:szCs w:val="28"/>
        </w:rPr>
        <w:footnoteReference w:id="8"/>
      </w:r>
      <w:r w:rsidRPr="006B20AB">
        <w:rPr>
          <w:sz w:val="28"/>
          <w:szCs w:val="28"/>
        </w:rPr>
        <w:t xml:space="preserve"> </w:t>
      </w:r>
      <w:r w:rsidRPr="006B20AB">
        <w:rPr>
          <w:sz w:val="28"/>
          <w:szCs w:val="28"/>
        </w:rPr>
        <w:br/>
      </w:r>
      <w:r w:rsidRPr="006B20AB">
        <w:rPr>
          <w:sz w:val="28"/>
          <w:szCs w:val="28"/>
          <w:lang w:eastAsia="ar-SA"/>
        </w:rPr>
        <w:t>информация об исполнении контрактов (отдельном этапе исполнения контрактов)</w:t>
      </w:r>
      <w:r w:rsidRPr="006B20AB">
        <w:rPr>
          <w:sz w:val="28"/>
          <w:szCs w:val="28"/>
        </w:rPr>
        <w:t xml:space="preserve"> в реестр контрактов</w:t>
      </w:r>
      <w:r>
        <w:rPr>
          <w:sz w:val="28"/>
          <w:szCs w:val="28"/>
        </w:rPr>
        <w:t xml:space="preserve"> направлял</w:t>
      </w:r>
      <w:r w:rsidR="006B20AB">
        <w:rPr>
          <w:sz w:val="28"/>
          <w:szCs w:val="28"/>
        </w:rPr>
        <w:t>а</w:t>
      </w:r>
      <w:r>
        <w:rPr>
          <w:sz w:val="28"/>
          <w:szCs w:val="28"/>
        </w:rPr>
        <w:t>сь с нарушением установленного срока.</w:t>
      </w:r>
    </w:p>
    <w:p w:rsidR="00D71593" w:rsidRDefault="00D71593" w:rsidP="00A07F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Кроме того, в отчётном периоде</w:t>
      </w:r>
      <w:r w:rsidR="00577704">
        <w:rPr>
          <w:sz w:val="28"/>
          <w:szCs w:val="28"/>
        </w:rPr>
        <w:t xml:space="preserve"> должностными лицами Счётной палаты </w:t>
      </w:r>
      <w:r>
        <w:rPr>
          <w:sz w:val="28"/>
          <w:szCs w:val="28"/>
        </w:rPr>
        <w:t>составлен</w:t>
      </w:r>
      <w:r w:rsidR="0057770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577704">
        <w:rPr>
          <w:sz w:val="28"/>
          <w:szCs w:val="28"/>
        </w:rPr>
        <w:t>в отношении одного юридического лица и пяти должностных лиц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протокол</w:t>
      </w:r>
      <w:r w:rsidR="00577704">
        <w:rPr>
          <w:sz w:val="28"/>
          <w:szCs w:val="28"/>
        </w:rPr>
        <w:t>ы</w:t>
      </w:r>
      <w:r>
        <w:rPr>
          <w:sz w:val="28"/>
          <w:szCs w:val="28"/>
        </w:rPr>
        <w:t xml:space="preserve"> об административных правонарушениях,</w:t>
      </w:r>
      <w:r w:rsidR="00577704">
        <w:rPr>
          <w:sz w:val="28"/>
          <w:szCs w:val="28"/>
        </w:rPr>
        <w:t xml:space="preserve"> ответственность за которые предусмотрена </w:t>
      </w:r>
      <w:r>
        <w:rPr>
          <w:sz w:val="28"/>
          <w:szCs w:val="28"/>
        </w:rPr>
        <w:t xml:space="preserve"> </w:t>
      </w:r>
      <w:r w:rsidR="00577704">
        <w:rPr>
          <w:sz w:val="28"/>
          <w:szCs w:val="28"/>
        </w:rPr>
        <w:t>стать</w:t>
      </w:r>
      <w:r w:rsidR="00D7686A">
        <w:rPr>
          <w:sz w:val="28"/>
          <w:szCs w:val="28"/>
        </w:rPr>
        <w:t>ями</w:t>
      </w:r>
      <w:r w:rsidR="00577704">
        <w:rPr>
          <w:sz w:val="28"/>
          <w:szCs w:val="28"/>
        </w:rPr>
        <w:t xml:space="preserve"> 15.14 </w:t>
      </w:r>
      <w:r w:rsidR="00577704" w:rsidRPr="00577704">
        <w:rPr>
          <w:sz w:val="28"/>
          <w:szCs w:val="28"/>
        </w:rPr>
        <w:t>(</w:t>
      </w:r>
      <w:r w:rsidR="00577704">
        <w:rPr>
          <w:sz w:val="28"/>
          <w:szCs w:val="28"/>
        </w:rPr>
        <w:t>н</w:t>
      </w:r>
      <w:r w:rsidR="00577704" w:rsidRPr="00577704">
        <w:rPr>
          <w:bCs/>
          <w:sz w:val="28"/>
          <w:szCs w:val="28"/>
        </w:rPr>
        <w:t>ецелевое использование бюджетных средств</w:t>
      </w:r>
      <w:r w:rsidR="00577704">
        <w:rPr>
          <w:sz w:val="28"/>
          <w:szCs w:val="28"/>
        </w:rPr>
        <w:t xml:space="preserve">) и 15.15.6 </w:t>
      </w:r>
      <w:r w:rsidR="00577704" w:rsidRPr="00577704">
        <w:rPr>
          <w:sz w:val="28"/>
          <w:szCs w:val="28"/>
        </w:rPr>
        <w:t>(</w:t>
      </w:r>
      <w:r w:rsidR="00577704">
        <w:rPr>
          <w:sz w:val="28"/>
          <w:szCs w:val="28"/>
        </w:rPr>
        <w:t>н</w:t>
      </w:r>
      <w:r w:rsidR="00577704" w:rsidRPr="00577704">
        <w:rPr>
          <w:bCs/>
          <w:sz w:val="28"/>
          <w:szCs w:val="28"/>
        </w:rPr>
        <w:t>арушение требований к бюджетному (бухгалтерскому) учету, в том числе к составлению, представлению бюджетной, бухгалтерской (финансовой) отчетности</w:t>
      </w:r>
      <w:r w:rsidR="00577704">
        <w:rPr>
          <w:sz w:val="28"/>
          <w:szCs w:val="28"/>
        </w:rPr>
        <w:t>)</w:t>
      </w:r>
      <w:r w:rsidR="00D7686A">
        <w:rPr>
          <w:sz w:val="28"/>
          <w:szCs w:val="28"/>
        </w:rPr>
        <w:t>,</w:t>
      </w:r>
      <w:r w:rsidR="00577704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 в ходе ранее проведённых контрольных мероприятий.</w:t>
      </w:r>
    </w:p>
    <w:p w:rsidR="007620AE" w:rsidRDefault="00D71593" w:rsidP="00A07F5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дел об административных правонарушениях мировыми судьями</w:t>
      </w:r>
      <w:r w:rsidR="00577704">
        <w:rPr>
          <w:sz w:val="28"/>
          <w:szCs w:val="28"/>
        </w:rPr>
        <w:t xml:space="preserve"> приняты постановления о назначении наказаний в виде </w:t>
      </w:r>
      <w:r w:rsidR="000C17E9">
        <w:rPr>
          <w:sz w:val="28"/>
          <w:szCs w:val="28"/>
        </w:rPr>
        <w:t xml:space="preserve">штрафов, </w:t>
      </w:r>
      <w:r w:rsidR="00577704">
        <w:rPr>
          <w:sz w:val="28"/>
          <w:szCs w:val="28"/>
        </w:rPr>
        <w:t>подлежащих</w:t>
      </w:r>
      <w:r w:rsidR="000C17E9">
        <w:rPr>
          <w:sz w:val="28"/>
          <w:szCs w:val="28"/>
        </w:rPr>
        <w:t xml:space="preserve"> перечислению в бюджет города</w:t>
      </w:r>
      <w:r w:rsidR="00577704">
        <w:rPr>
          <w:sz w:val="28"/>
          <w:szCs w:val="28"/>
        </w:rPr>
        <w:t>.</w:t>
      </w:r>
      <w:r w:rsidR="00CF23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</w:p>
    <w:p w:rsidR="00D7686A" w:rsidRDefault="00D7686A" w:rsidP="00CD4F44">
      <w:pPr>
        <w:tabs>
          <w:tab w:val="left" w:pos="284"/>
        </w:tabs>
        <w:ind w:firstLine="851"/>
        <w:jc w:val="center"/>
        <w:rPr>
          <w:b/>
          <w:sz w:val="28"/>
        </w:rPr>
      </w:pPr>
    </w:p>
    <w:p w:rsidR="002849E1" w:rsidRDefault="0059731E" w:rsidP="00CD4F44">
      <w:pPr>
        <w:tabs>
          <w:tab w:val="left" w:pos="284"/>
        </w:tabs>
        <w:ind w:firstLine="851"/>
        <w:jc w:val="center"/>
        <w:rPr>
          <w:b/>
          <w:sz w:val="28"/>
        </w:rPr>
      </w:pPr>
      <w:r>
        <w:rPr>
          <w:b/>
          <w:sz w:val="28"/>
        </w:rPr>
        <w:t>Экспертно-аналитическая деятельность</w:t>
      </w:r>
    </w:p>
    <w:p w:rsidR="002849E1" w:rsidRDefault="0059731E" w:rsidP="00CD4F44">
      <w:pPr>
        <w:ind w:firstLine="851"/>
        <w:jc w:val="both"/>
        <w:rPr>
          <w:sz w:val="28"/>
        </w:rPr>
      </w:pPr>
      <w:r>
        <w:rPr>
          <w:sz w:val="28"/>
        </w:rPr>
        <w:t xml:space="preserve"> </w:t>
      </w:r>
    </w:p>
    <w:p w:rsidR="00BD2B4A" w:rsidRPr="001E687F" w:rsidRDefault="00BD2B4A" w:rsidP="00A07F53">
      <w:pPr>
        <w:ind w:firstLine="709"/>
        <w:jc w:val="both"/>
        <w:rPr>
          <w:sz w:val="28"/>
          <w:szCs w:val="28"/>
        </w:rPr>
      </w:pPr>
      <w:r w:rsidRPr="001E687F">
        <w:rPr>
          <w:sz w:val="28"/>
          <w:szCs w:val="28"/>
        </w:rPr>
        <w:t>В</w:t>
      </w:r>
      <w:r w:rsidR="005F671E">
        <w:rPr>
          <w:sz w:val="28"/>
          <w:szCs w:val="28"/>
        </w:rPr>
        <w:t xml:space="preserve"> </w:t>
      </w:r>
      <w:r w:rsidR="007D4BEE">
        <w:rPr>
          <w:sz w:val="28"/>
          <w:szCs w:val="28"/>
        </w:rPr>
        <w:t xml:space="preserve">третьем </w:t>
      </w:r>
      <w:r w:rsidRPr="001E687F">
        <w:rPr>
          <w:sz w:val="28"/>
          <w:szCs w:val="28"/>
        </w:rPr>
        <w:t>квартале Счётной палатой проведены:</w:t>
      </w:r>
    </w:p>
    <w:p w:rsidR="00714887" w:rsidRDefault="00714887" w:rsidP="00A07F53">
      <w:pPr>
        <w:ind w:firstLine="709"/>
        <w:jc w:val="both"/>
        <w:rPr>
          <w:sz w:val="28"/>
          <w:szCs w:val="28"/>
        </w:rPr>
      </w:pPr>
      <w:r w:rsidRPr="001E687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E687F">
        <w:rPr>
          <w:sz w:val="28"/>
          <w:szCs w:val="28"/>
        </w:rPr>
        <w:t>экспертиз</w:t>
      </w:r>
      <w:r>
        <w:rPr>
          <w:sz w:val="28"/>
          <w:szCs w:val="28"/>
        </w:rPr>
        <w:t>а</w:t>
      </w:r>
      <w:r w:rsidRPr="001E687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1E687F">
        <w:rPr>
          <w:sz w:val="28"/>
          <w:szCs w:val="28"/>
        </w:rPr>
        <w:t xml:space="preserve"> решения Думы города </w:t>
      </w:r>
      <w:r w:rsidRPr="009306FB">
        <w:rPr>
          <w:sz w:val="28"/>
          <w:szCs w:val="28"/>
        </w:rPr>
        <w:t xml:space="preserve">«О внесении изменений в решение Думы города Нефтеюганска </w:t>
      </w:r>
      <w:r w:rsidRPr="00E13D69">
        <w:rPr>
          <w:sz w:val="28"/>
          <w:szCs w:val="28"/>
        </w:rPr>
        <w:t>от 22.12.2021 №</w:t>
      </w:r>
      <w:r>
        <w:rPr>
          <w:sz w:val="28"/>
          <w:szCs w:val="28"/>
        </w:rPr>
        <w:t xml:space="preserve"> </w:t>
      </w:r>
      <w:r w:rsidRPr="00E13D69">
        <w:rPr>
          <w:sz w:val="28"/>
          <w:szCs w:val="28"/>
        </w:rPr>
        <w:t>51-VII «О бюджете города Нефтеюганска на 2022 год и пл</w:t>
      </w:r>
      <w:r>
        <w:rPr>
          <w:sz w:val="28"/>
          <w:szCs w:val="28"/>
        </w:rPr>
        <w:t>ановый период 2023 и 2024 годов</w:t>
      </w:r>
      <w:r w:rsidRPr="00952B53">
        <w:rPr>
          <w:sz w:val="28"/>
          <w:szCs w:val="28"/>
        </w:rPr>
        <w:t>;</w:t>
      </w:r>
    </w:p>
    <w:p w:rsidR="002F49EA" w:rsidRDefault="002F49EA" w:rsidP="00A07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экспертно-аналитическое мероприятие </w:t>
      </w:r>
      <w:r w:rsidRPr="00D22B7D">
        <w:rPr>
          <w:sz w:val="28"/>
          <w:szCs w:val="28"/>
        </w:rPr>
        <w:t xml:space="preserve">«Проведение оперативного анализа исполнения и контроля за организацией исполнения местного бюджета в текущем финансовом году» (1 </w:t>
      </w:r>
      <w:r>
        <w:rPr>
          <w:sz w:val="28"/>
          <w:szCs w:val="28"/>
        </w:rPr>
        <w:t>полугодие</w:t>
      </w:r>
      <w:r w:rsidRPr="00D22B7D">
        <w:rPr>
          <w:sz w:val="28"/>
          <w:szCs w:val="28"/>
        </w:rPr>
        <w:t xml:space="preserve"> 2022 года)</w:t>
      </w:r>
      <w:r>
        <w:rPr>
          <w:sz w:val="28"/>
          <w:szCs w:val="28"/>
        </w:rPr>
        <w:t>;</w:t>
      </w:r>
    </w:p>
    <w:p w:rsidR="00BD2B4A" w:rsidRDefault="00BD2B4A" w:rsidP="00A07F53">
      <w:pPr>
        <w:ind w:firstLine="709"/>
        <w:jc w:val="both"/>
        <w:rPr>
          <w:sz w:val="28"/>
          <w:szCs w:val="28"/>
        </w:rPr>
      </w:pPr>
      <w:r w:rsidRPr="00704542">
        <w:rPr>
          <w:sz w:val="28"/>
          <w:szCs w:val="28"/>
        </w:rPr>
        <w:t>-</w:t>
      </w:r>
      <w:r w:rsidR="00714887">
        <w:rPr>
          <w:sz w:val="28"/>
          <w:szCs w:val="28"/>
        </w:rPr>
        <w:t xml:space="preserve"> </w:t>
      </w:r>
      <w:r w:rsidRPr="00704542">
        <w:rPr>
          <w:sz w:val="28"/>
          <w:szCs w:val="28"/>
        </w:rPr>
        <w:t>экспертизы проектов изменений в муниципальные программы города Нефтеюганска;</w:t>
      </w:r>
    </w:p>
    <w:p w:rsidR="00BD2B4A" w:rsidRDefault="00BD2B4A" w:rsidP="00A07F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542">
        <w:rPr>
          <w:sz w:val="28"/>
          <w:szCs w:val="28"/>
        </w:rPr>
        <w:t>-</w:t>
      </w:r>
      <w:r w:rsidR="00714887">
        <w:rPr>
          <w:sz w:val="28"/>
          <w:szCs w:val="28"/>
        </w:rPr>
        <w:t xml:space="preserve"> </w:t>
      </w:r>
      <w:r w:rsidRPr="00704542">
        <w:rPr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</w:t>
      </w:r>
      <w:r w:rsidR="00202396">
        <w:rPr>
          <w:sz w:val="28"/>
          <w:szCs w:val="28"/>
        </w:rPr>
        <w:t>зования.</w:t>
      </w:r>
    </w:p>
    <w:p w:rsidR="007D55C0" w:rsidRDefault="007D55C0" w:rsidP="00CD4F44">
      <w:pPr>
        <w:ind w:firstLine="851"/>
        <w:jc w:val="center"/>
        <w:rPr>
          <w:b/>
          <w:i/>
          <w:sz w:val="28"/>
        </w:rPr>
      </w:pPr>
    </w:p>
    <w:p w:rsidR="00714887" w:rsidRPr="00952B53" w:rsidRDefault="00714887" w:rsidP="00CD4F44">
      <w:pPr>
        <w:ind w:firstLine="851"/>
        <w:jc w:val="center"/>
        <w:rPr>
          <w:b/>
          <w:i/>
          <w:sz w:val="28"/>
          <w:szCs w:val="28"/>
        </w:rPr>
      </w:pPr>
      <w:r w:rsidRPr="00952B53">
        <w:rPr>
          <w:b/>
          <w:i/>
          <w:sz w:val="28"/>
          <w:szCs w:val="28"/>
        </w:rPr>
        <w:t xml:space="preserve">Экспертиза проекта решения Думы города </w:t>
      </w:r>
      <w:r w:rsidRPr="009306FB">
        <w:rPr>
          <w:b/>
          <w:i/>
          <w:sz w:val="28"/>
          <w:szCs w:val="28"/>
        </w:rPr>
        <w:t>«</w:t>
      </w:r>
      <w:r w:rsidRPr="00D464F9">
        <w:rPr>
          <w:b/>
          <w:i/>
          <w:sz w:val="28"/>
          <w:szCs w:val="28"/>
        </w:rPr>
        <w:t xml:space="preserve">О внесении изменений в решение Думы города Нефтеюганска </w:t>
      </w:r>
      <w:r w:rsidRPr="00E13D69">
        <w:rPr>
          <w:b/>
          <w:i/>
          <w:sz w:val="28"/>
          <w:szCs w:val="28"/>
        </w:rPr>
        <w:t>от 22.12.2021 №</w:t>
      </w:r>
      <w:r>
        <w:rPr>
          <w:b/>
          <w:i/>
          <w:sz w:val="28"/>
          <w:szCs w:val="28"/>
        </w:rPr>
        <w:t xml:space="preserve"> </w:t>
      </w:r>
      <w:r w:rsidRPr="00E13D69">
        <w:rPr>
          <w:b/>
          <w:i/>
          <w:sz w:val="28"/>
          <w:szCs w:val="28"/>
        </w:rPr>
        <w:t>51-VII «О бюджете города Нефтеюганска на 2022 год и пл</w:t>
      </w:r>
      <w:r>
        <w:rPr>
          <w:b/>
          <w:i/>
          <w:sz w:val="28"/>
          <w:szCs w:val="28"/>
        </w:rPr>
        <w:t>ановый период 2023 и 2024 годов</w:t>
      </w:r>
      <w:r w:rsidRPr="009306FB">
        <w:rPr>
          <w:b/>
          <w:i/>
          <w:sz w:val="28"/>
          <w:szCs w:val="28"/>
        </w:rPr>
        <w:t xml:space="preserve">» </w:t>
      </w:r>
      <w:r w:rsidRPr="00952B53">
        <w:rPr>
          <w:b/>
          <w:i/>
          <w:sz w:val="28"/>
          <w:szCs w:val="28"/>
        </w:rPr>
        <w:t>(далее по тексту</w:t>
      </w:r>
      <w:r>
        <w:rPr>
          <w:b/>
          <w:i/>
          <w:sz w:val="28"/>
          <w:szCs w:val="28"/>
        </w:rPr>
        <w:t xml:space="preserve"> </w:t>
      </w:r>
      <w:r w:rsidRPr="00952B53">
        <w:rPr>
          <w:b/>
          <w:i/>
          <w:sz w:val="28"/>
          <w:szCs w:val="28"/>
        </w:rPr>
        <w:t>- проект решения)</w:t>
      </w:r>
    </w:p>
    <w:p w:rsidR="00714887" w:rsidRPr="00952B53" w:rsidRDefault="00714887" w:rsidP="00CD4F44">
      <w:pPr>
        <w:ind w:firstLine="851"/>
        <w:jc w:val="both"/>
        <w:rPr>
          <w:sz w:val="28"/>
          <w:szCs w:val="28"/>
        </w:rPr>
      </w:pPr>
    </w:p>
    <w:p w:rsidR="00714887" w:rsidRDefault="00714887" w:rsidP="00A07F5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B37AD">
        <w:rPr>
          <w:sz w:val="28"/>
          <w:szCs w:val="28"/>
        </w:rPr>
        <w:t>В</w:t>
      </w:r>
      <w:r w:rsidR="009A5CE4">
        <w:rPr>
          <w:sz w:val="28"/>
          <w:szCs w:val="28"/>
        </w:rPr>
        <w:t xml:space="preserve"> отчётном периоде подготовлено </w:t>
      </w:r>
      <w:r w:rsidR="002F49EA">
        <w:rPr>
          <w:sz w:val="28"/>
          <w:szCs w:val="28"/>
        </w:rPr>
        <w:t>1</w:t>
      </w:r>
      <w:r w:rsidRPr="00DB37AD">
        <w:rPr>
          <w:sz w:val="28"/>
          <w:szCs w:val="28"/>
        </w:rPr>
        <w:t xml:space="preserve"> заключени</w:t>
      </w:r>
      <w:r w:rsidR="009A5CE4">
        <w:rPr>
          <w:sz w:val="28"/>
          <w:szCs w:val="28"/>
        </w:rPr>
        <w:t>я</w:t>
      </w:r>
      <w:r w:rsidRPr="00DB37AD">
        <w:rPr>
          <w:sz w:val="28"/>
          <w:szCs w:val="28"/>
        </w:rPr>
        <w:t xml:space="preserve"> на проект</w:t>
      </w:r>
      <w:r w:rsidR="009A5CE4">
        <w:rPr>
          <w:sz w:val="28"/>
          <w:szCs w:val="28"/>
        </w:rPr>
        <w:t>ы</w:t>
      </w:r>
      <w:r w:rsidRPr="00DB37AD">
        <w:rPr>
          <w:sz w:val="28"/>
          <w:szCs w:val="28"/>
        </w:rPr>
        <w:t xml:space="preserve"> решени</w:t>
      </w:r>
      <w:r w:rsidR="009A5CE4">
        <w:rPr>
          <w:sz w:val="28"/>
          <w:szCs w:val="28"/>
        </w:rPr>
        <w:t>й</w:t>
      </w:r>
      <w:r w:rsidRPr="00DB37AD">
        <w:rPr>
          <w:sz w:val="28"/>
          <w:szCs w:val="28"/>
        </w:rPr>
        <w:t xml:space="preserve"> Думы города «О внесении изменений в решение Думы города Нефтеюганска от 22.12.2021 № 51-VII «О бюджете города Нефтеюганска на 2022 год и плановый период 2023 и 2024 годов». Сформулировано </w:t>
      </w:r>
      <w:r w:rsidR="002F49EA">
        <w:rPr>
          <w:sz w:val="28"/>
          <w:szCs w:val="28"/>
        </w:rPr>
        <w:t>3</w:t>
      </w:r>
      <w:r w:rsidRPr="00DB37AD">
        <w:rPr>
          <w:sz w:val="28"/>
          <w:szCs w:val="28"/>
        </w:rPr>
        <w:t xml:space="preserve"> замечани</w:t>
      </w:r>
      <w:r w:rsidR="009A5CE4">
        <w:rPr>
          <w:sz w:val="28"/>
          <w:szCs w:val="28"/>
        </w:rPr>
        <w:t>я</w:t>
      </w:r>
      <w:r w:rsidRPr="00DB37AD">
        <w:rPr>
          <w:sz w:val="28"/>
          <w:szCs w:val="28"/>
        </w:rPr>
        <w:t>, дан</w:t>
      </w:r>
      <w:r>
        <w:rPr>
          <w:sz w:val="28"/>
          <w:szCs w:val="28"/>
        </w:rPr>
        <w:t>ы</w:t>
      </w:r>
      <w:r w:rsidRPr="00DB37AD">
        <w:rPr>
          <w:sz w:val="28"/>
          <w:szCs w:val="28"/>
        </w:rPr>
        <w:t xml:space="preserve"> </w:t>
      </w:r>
      <w:r w:rsidR="002F49E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B37AD">
        <w:rPr>
          <w:sz w:val="28"/>
          <w:szCs w:val="28"/>
        </w:rPr>
        <w:t>рекомендаци</w:t>
      </w:r>
      <w:r w:rsidR="009A5CE4">
        <w:rPr>
          <w:sz w:val="28"/>
          <w:szCs w:val="28"/>
        </w:rPr>
        <w:t>и</w:t>
      </w:r>
      <w:r w:rsidRPr="00DB37AD">
        <w:rPr>
          <w:sz w:val="28"/>
          <w:szCs w:val="28"/>
        </w:rPr>
        <w:t>. Финансовым орган</w:t>
      </w:r>
      <w:r w:rsidR="00DA1840">
        <w:rPr>
          <w:sz w:val="28"/>
          <w:szCs w:val="28"/>
        </w:rPr>
        <w:t>о</w:t>
      </w:r>
      <w:r w:rsidRPr="00DB37AD">
        <w:rPr>
          <w:sz w:val="28"/>
          <w:szCs w:val="28"/>
        </w:rPr>
        <w:t>м, администрацией города, главным распорядителем бюджетных средств рекомендаци</w:t>
      </w:r>
      <w:r>
        <w:rPr>
          <w:sz w:val="28"/>
          <w:szCs w:val="28"/>
        </w:rPr>
        <w:t>и</w:t>
      </w:r>
      <w:r w:rsidRPr="00DB37AD">
        <w:rPr>
          <w:sz w:val="28"/>
          <w:szCs w:val="28"/>
        </w:rPr>
        <w:t xml:space="preserve"> учтен</w:t>
      </w:r>
      <w:r>
        <w:rPr>
          <w:sz w:val="28"/>
          <w:szCs w:val="28"/>
        </w:rPr>
        <w:t>ы</w:t>
      </w:r>
      <w:r w:rsidRPr="00DB37AD">
        <w:rPr>
          <w:sz w:val="28"/>
          <w:szCs w:val="28"/>
        </w:rPr>
        <w:t xml:space="preserve"> и принят</w:t>
      </w:r>
      <w:r>
        <w:rPr>
          <w:sz w:val="28"/>
          <w:szCs w:val="28"/>
        </w:rPr>
        <w:t>ы</w:t>
      </w:r>
      <w:r w:rsidRPr="00DB37AD">
        <w:rPr>
          <w:sz w:val="28"/>
          <w:szCs w:val="28"/>
        </w:rPr>
        <w:t xml:space="preserve"> к сведению.</w:t>
      </w:r>
    </w:p>
    <w:p w:rsidR="00DF747C" w:rsidRDefault="00DF747C" w:rsidP="00CD4F44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2849E1" w:rsidRDefault="0059731E" w:rsidP="00CD4F44">
      <w:pPr>
        <w:ind w:firstLine="851"/>
        <w:jc w:val="center"/>
        <w:rPr>
          <w:sz w:val="28"/>
        </w:rPr>
      </w:pPr>
      <w:r w:rsidRPr="006113BC">
        <w:rPr>
          <w:b/>
          <w:i/>
          <w:sz w:val="28"/>
        </w:rPr>
        <w:t>Экспертиза проектов муниципальных программ, изменений в муниципальные программы города Нефтеюганска</w:t>
      </w:r>
    </w:p>
    <w:p w:rsidR="00EE2A77" w:rsidRDefault="00EE2A77" w:rsidP="00CD4F44">
      <w:pPr>
        <w:pStyle w:val="ConsPlusNormal"/>
        <w:spacing w:line="23" w:lineRule="atLeast"/>
        <w:ind w:firstLine="851"/>
        <w:jc w:val="both"/>
        <w:rPr>
          <w:rFonts w:ascii="Times New Roman" w:hAnsi="Times New Roman"/>
          <w:sz w:val="28"/>
        </w:rPr>
      </w:pPr>
    </w:p>
    <w:p w:rsidR="002849E1" w:rsidRDefault="0059731E" w:rsidP="00A07F53">
      <w:pPr>
        <w:pStyle w:val="ConsPlusNormal"/>
        <w:spacing w:line="23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E501D">
        <w:rPr>
          <w:rFonts w:ascii="Times New Roman" w:hAnsi="Times New Roman"/>
          <w:sz w:val="28"/>
        </w:rPr>
        <w:t>роведен</w:t>
      </w:r>
      <w:r w:rsidR="00CB6155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="007D4BEE"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9E501D" w:rsidRPr="009E501D">
        <w:rPr>
          <w:rFonts w:ascii="Times New Roman" w:hAnsi="Times New Roman"/>
          <w:color w:val="auto"/>
          <w:sz w:val="28"/>
        </w:rPr>
        <w:t>экспертиз</w:t>
      </w:r>
      <w:r w:rsidR="009E501D" w:rsidRPr="009E501D"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>на проекты изменений в муниципальные программы города Нефтеюганска</w:t>
      </w:r>
      <w:r w:rsidR="009E501D">
        <w:rPr>
          <w:rFonts w:ascii="Times New Roman" w:hAnsi="Times New Roman"/>
          <w:color w:val="auto"/>
          <w:sz w:val="28"/>
        </w:rPr>
        <w:t>, по результатам которых подготовлены соответствующие</w:t>
      </w:r>
      <w:r w:rsidR="009E501D" w:rsidRPr="009E501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</w:t>
      </w:r>
      <w:r w:rsidR="004F0BD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Сформулировано </w:t>
      </w:r>
      <w:r w:rsidR="00C671A9">
        <w:rPr>
          <w:rFonts w:ascii="Times New Roman" w:hAnsi="Times New Roman"/>
          <w:sz w:val="28"/>
        </w:rPr>
        <w:t>27 замечаний</w:t>
      </w:r>
      <w:r>
        <w:rPr>
          <w:rFonts w:ascii="Times New Roman" w:hAnsi="Times New Roman"/>
          <w:sz w:val="28"/>
        </w:rPr>
        <w:t xml:space="preserve">, подготовлено </w:t>
      </w:r>
      <w:r w:rsidR="007D4BEE">
        <w:rPr>
          <w:rFonts w:ascii="Times New Roman" w:hAnsi="Times New Roman"/>
          <w:sz w:val="28"/>
        </w:rPr>
        <w:t>26</w:t>
      </w:r>
      <w:r w:rsidR="007B74B6">
        <w:rPr>
          <w:rFonts w:ascii="Times New Roman" w:hAnsi="Times New Roman"/>
          <w:sz w:val="28"/>
        </w:rPr>
        <w:t xml:space="preserve"> рекомендаци</w:t>
      </w:r>
      <w:r w:rsidR="00CB6155">
        <w:rPr>
          <w:rFonts w:ascii="Times New Roman" w:hAnsi="Times New Roman"/>
          <w:sz w:val="28"/>
        </w:rPr>
        <w:t>й</w:t>
      </w:r>
      <w:r w:rsidR="009E501D">
        <w:rPr>
          <w:rFonts w:ascii="Times New Roman" w:hAnsi="Times New Roman"/>
          <w:sz w:val="28"/>
        </w:rPr>
        <w:t xml:space="preserve">, </w:t>
      </w:r>
      <w:r w:rsidR="007D4BEE">
        <w:rPr>
          <w:rFonts w:ascii="Times New Roman" w:hAnsi="Times New Roman"/>
          <w:sz w:val="28"/>
        </w:rPr>
        <w:t xml:space="preserve">из </w:t>
      </w:r>
      <w:r w:rsidR="009E501D">
        <w:rPr>
          <w:rFonts w:ascii="Times New Roman" w:hAnsi="Times New Roman"/>
          <w:sz w:val="28"/>
        </w:rPr>
        <w:t>которы</w:t>
      </w:r>
      <w:r w:rsidR="007D4BEE">
        <w:rPr>
          <w:rFonts w:ascii="Times New Roman" w:hAnsi="Times New Roman"/>
          <w:sz w:val="28"/>
        </w:rPr>
        <w:t>х</w:t>
      </w:r>
      <w:r w:rsidR="009E501D">
        <w:rPr>
          <w:rFonts w:ascii="Times New Roman" w:hAnsi="Times New Roman"/>
          <w:sz w:val="28"/>
        </w:rPr>
        <w:t xml:space="preserve"> </w:t>
      </w:r>
      <w:r w:rsidR="00B336CF">
        <w:rPr>
          <w:rFonts w:ascii="Times New Roman" w:hAnsi="Times New Roman"/>
          <w:sz w:val="28"/>
        </w:rPr>
        <w:t xml:space="preserve">ответственными исполнителями </w:t>
      </w:r>
      <w:r w:rsidR="00A07F53">
        <w:rPr>
          <w:rFonts w:ascii="Times New Roman" w:hAnsi="Times New Roman"/>
          <w:sz w:val="28"/>
        </w:rPr>
        <w:t>м</w:t>
      </w:r>
      <w:r w:rsidR="00B336CF">
        <w:rPr>
          <w:rFonts w:ascii="Times New Roman" w:hAnsi="Times New Roman"/>
          <w:sz w:val="28"/>
        </w:rPr>
        <w:t xml:space="preserve">униципальных </w:t>
      </w:r>
      <w:r w:rsidR="00B336CF">
        <w:rPr>
          <w:rFonts w:ascii="Times New Roman" w:hAnsi="Times New Roman"/>
          <w:sz w:val="28"/>
        </w:rPr>
        <w:lastRenderedPageBreak/>
        <w:t xml:space="preserve">программ </w:t>
      </w:r>
      <w:r w:rsidR="00C671A9">
        <w:rPr>
          <w:rFonts w:ascii="Times New Roman" w:hAnsi="Times New Roman"/>
          <w:sz w:val="28"/>
        </w:rPr>
        <w:t>приняты 25</w:t>
      </w:r>
      <w:r w:rsidR="007D4BEE"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 xml:space="preserve">и </w:t>
      </w:r>
      <w:r w:rsidR="007D4BEE">
        <w:rPr>
          <w:rFonts w:ascii="Times New Roman" w:hAnsi="Times New Roman"/>
          <w:sz w:val="28"/>
        </w:rPr>
        <w:t>24 соответственно</w:t>
      </w:r>
      <w:r w:rsidR="009E501D">
        <w:rPr>
          <w:rFonts w:ascii="Times New Roman" w:hAnsi="Times New Roman"/>
          <w:sz w:val="28"/>
        </w:rPr>
        <w:t xml:space="preserve">.  </w:t>
      </w:r>
    </w:p>
    <w:p w:rsidR="002849E1" w:rsidRDefault="0059731E" w:rsidP="00A07F53">
      <w:pPr>
        <w:tabs>
          <w:tab w:val="left" w:pos="0"/>
        </w:tabs>
        <w:spacing w:line="23" w:lineRule="atLeast"/>
        <w:ind w:firstLine="709"/>
        <w:jc w:val="both"/>
        <w:rPr>
          <w:sz w:val="28"/>
        </w:rPr>
      </w:pPr>
      <w:r>
        <w:rPr>
          <w:sz w:val="28"/>
        </w:rPr>
        <w:t>При проведении экспертизы выявлены недостатки</w:t>
      </w:r>
      <w:r w:rsidR="007620AE">
        <w:rPr>
          <w:sz w:val="28"/>
        </w:rPr>
        <w:t xml:space="preserve"> такие как</w:t>
      </w:r>
      <w:r>
        <w:rPr>
          <w:sz w:val="28"/>
        </w:rPr>
        <w:t xml:space="preserve">: </w:t>
      </w:r>
    </w:p>
    <w:p w:rsidR="00D70D10" w:rsidRPr="006B20AB" w:rsidRDefault="00D70D10" w:rsidP="00A07F53">
      <w:pPr>
        <w:tabs>
          <w:tab w:val="left" w:pos="0"/>
        </w:tabs>
        <w:spacing w:line="23" w:lineRule="atLeast"/>
        <w:ind w:firstLine="709"/>
        <w:jc w:val="both"/>
        <w:rPr>
          <w:sz w:val="28"/>
        </w:rPr>
      </w:pPr>
      <w:r w:rsidRPr="006B20AB">
        <w:rPr>
          <w:sz w:val="28"/>
        </w:rPr>
        <w:t>- отдельные положения проектов не соответствовали Порядку принятия решения о разработке муниципальных программ</w:t>
      </w:r>
      <w:r w:rsidR="00C476EF" w:rsidRPr="006B20AB">
        <w:rPr>
          <w:rStyle w:val="af9"/>
          <w:sz w:val="28"/>
        </w:rPr>
        <w:footnoteReference w:id="9"/>
      </w:r>
      <w:r w:rsidRPr="006B20AB">
        <w:rPr>
          <w:sz w:val="28"/>
        </w:rPr>
        <w:t>;</w:t>
      </w:r>
    </w:p>
    <w:p w:rsidR="006B20AB" w:rsidRDefault="009D1992" w:rsidP="00A07F53">
      <w:pPr>
        <w:tabs>
          <w:tab w:val="left" w:pos="0"/>
        </w:tabs>
        <w:spacing w:line="23" w:lineRule="atLeast"/>
        <w:ind w:firstLine="709"/>
        <w:jc w:val="both"/>
        <w:rPr>
          <w:color w:val="auto"/>
          <w:sz w:val="28"/>
        </w:rPr>
      </w:pPr>
      <w:r w:rsidRPr="006B20AB">
        <w:rPr>
          <w:color w:val="auto"/>
          <w:sz w:val="28"/>
        </w:rPr>
        <w:t xml:space="preserve">- </w:t>
      </w:r>
      <w:r w:rsidR="006B20AB" w:rsidRPr="006B20AB">
        <w:rPr>
          <w:color w:val="auto"/>
          <w:sz w:val="28"/>
        </w:rPr>
        <w:t>сметная документация</w:t>
      </w:r>
      <w:r w:rsidR="006B20AB">
        <w:rPr>
          <w:color w:val="auto"/>
          <w:sz w:val="28"/>
        </w:rPr>
        <w:t xml:space="preserve">, предоставленная в качестве экономического </w:t>
      </w:r>
      <w:r w:rsidR="006B20AB" w:rsidRPr="001122B9">
        <w:rPr>
          <w:color w:val="auto"/>
          <w:sz w:val="28"/>
        </w:rPr>
        <w:t>обоснования планируемых расходов, составлялась</w:t>
      </w:r>
      <w:r w:rsidR="006B20AB">
        <w:rPr>
          <w:color w:val="auto"/>
          <w:sz w:val="28"/>
        </w:rPr>
        <w:t xml:space="preserve"> с применением </w:t>
      </w:r>
      <w:r w:rsidR="001122B9">
        <w:rPr>
          <w:color w:val="auto"/>
          <w:sz w:val="28"/>
        </w:rPr>
        <w:t xml:space="preserve">неверных </w:t>
      </w:r>
      <w:r w:rsidR="006B20AB" w:rsidRPr="006B20AB">
        <w:rPr>
          <w:color w:val="auto"/>
          <w:sz w:val="28"/>
        </w:rPr>
        <w:t>индекс</w:t>
      </w:r>
      <w:r w:rsidR="006B20AB">
        <w:rPr>
          <w:color w:val="auto"/>
          <w:sz w:val="28"/>
        </w:rPr>
        <w:t>ов</w:t>
      </w:r>
      <w:r w:rsidR="006B20AB" w:rsidRPr="006B20AB">
        <w:rPr>
          <w:color w:val="auto"/>
          <w:sz w:val="28"/>
        </w:rPr>
        <w:t xml:space="preserve"> изменений сметной стоимости строительства</w:t>
      </w:r>
      <w:r w:rsidR="00AF42D6">
        <w:rPr>
          <w:color w:val="auto"/>
          <w:sz w:val="28"/>
        </w:rPr>
        <w:t>.</w:t>
      </w:r>
    </w:p>
    <w:p w:rsidR="006B20AB" w:rsidRDefault="006B20AB" w:rsidP="00CD4F44">
      <w:pPr>
        <w:tabs>
          <w:tab w:val="left" w:pos="0"/>
        </w:tabs>
        <w:spacing w:line="23" w:lineRule="atLeast"/>
        <w:ind w:firstLine="851"/>
        <w:jc w:val="both"/>
        <w:rPr>
          <w:color w:val="auto"/>
          <w:sz w:val="28"/>
        </w:rPr>
      </w:pPr>
    </w:p>
    <w:p w:rsidR="002D5856" w:rsidRDefault="002D5856" w:rsidP="00CD4F44">
      <w:pPr>
        <w:ind w:firstLine="851"/>
        <w:jc w:val="center"/>
        <w:rPr>
          <w:b/>
          <w:i/>
          <w:sz w:val="28"/>
        </w:rPr>
      </w:pPr>
    </w:p>
    <w:p w:rsidR="00403701" w:rsidRPr="00403701" w:rsidRDefault="0059731E" w:rsidP="00A07F53">
      <w:pPr>
        <w:autoSpaceDE w:val="0"/>
        <w:autoSpaceDN w:val="0"/>
        <w:adjustRightInd w:val="0"/>
        <w:jc w:val="center"/>
        <w:rPr>
          <w:b/>
          <w:i/>
          <w:sz w:val="28"/>
        </w:rPr>
      </w:pPr>
      <w:r>
        <w:rPr>
          <w:b/>
          <w:i/>
          <w:sz w:val="28"/>
        </w:rPr>
        <w:t>Экспертиза проектов муниципальных правовых актов в части, касающейся расходных обязательств муниципального образования</w:t>
      </w:r>
      <w:r w:rsidR="00403701" w:rsidRPr="00403701">
        <w:rPr>
          <w:b/>
          <w:i/>
          <w:sz w:val="28"/>
        </w:rPr>
        <w:t>, либо приводящих к изменению доходов местного бюджета</w:t>
      </w:r>
    </w:p>
    <w:p w:rsidR="000B7DF9" w:rsidRDefault="000B7DF9" w:rsidP="00CD4F44">
      <w:pPr>
        <w:tabs>
          <w:tab w:val="left" w:pos="0"/>
        </w:tabs>
        <w:spacing w:line="23" w:lineRule="atLeast"/>
        <w:ind w:firstLine="851"/>
        <w:jc w:val="both"/>
        <w:rPr>
          <w:sz w:val="28"/>
        </w:rPr>
      </w:pPr>
    </w:p>
    <w:p w:rsidR="00720CFF" w:rsidRDefault="00B131A9" w:rsidP="00A07F5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2158C9">
        <w:rPr>
          <w:sz w:val="28"/>
        </w:rPr>
        <w:t>третьем</w:t>
      </w:r>
      <w:r w:rsidR="0059731E">
        <w:rPr>
          <w:sz w:val="28"/>
        </w:rPr>
        <w:t xml:space="preserve"> квартале 20</w:t>
      </w:r>
      <w:r w:rsidR="0049563C">
        <w:rPr>
          <w:sz w:val="28"/>
        </w:rPr>
        <w:t>2</w:t>
      </w:r>
      <w:r w:rsidR="00403701">
        <w:rPr>
          <w:sz w:val="28"/>
        </w:rPr>
        <w:t>2</w:t>
      </w:r>
      <w:r w:rsidR="0059731E">
        <w:rPr>
          <w:sz w:val="28"/>
        </w:rPr>
        <w:t xml:space="preserve"> года проведено </w:t>
      </w:r>
      <w:r w:rsidR="007D4BEE">
        <w:rPr>
          <w:sz w:val="28"/>
        </w:rPr>
        <w:t>11</w:t>
      </w:r>
      <w:r w:rsidR="007B74B6">
        <w:rPr>
          <w:sz w:val="28"/>
        </w:rPr>
        <w:t xml:space="preserve"> </w:t>
      </w:r>
      <w:r w:rsidR="0059731E">
        <w:rPr>
          <w:sz w:val="28"/>
        </w:rPr>
        <w:t>экспертиз проект</w:t>
      </w:r>
      <w:r w:rsidR="00720CFF">
        <w:rPr>
          <w:sz w:val="28"/>
        </w:rPr>
        <w:t>ов муниципальных правовых актов</w:t>
      </w:r>
      <w:r w:rsidR="00403701">
        <w:rPr>
          <w:sz w:val="28"/>
        </w:rPr>
        <w:t xml:space="preserve">, </w:t>
      </w:r>
      <w:r w:rsidR="00403701" w:rsidRPr="00403701">
        <w:rPr>
          <w:sz w:val="28"/>
        </w:rPr>
        <w:t>касающ</w:t>
      </w:r>
      <w:r w:rsidR="00827F3A">
        <w:rPr>
          <w:sz w:val="28"/>
        </w:rPr>
        <w:t>их</w:t>
      </w:r>
      <w:r w:rsidR="00403701" w:rsidRPr="00403701">
        <w:rPr>
          <w:sz w:val="28"/>
        </w:rPr>
        <w:t>ся расходных обязательств муниципального образования, либо приводящих к изменению доходов местного бюджета</w:t>
      </w:r>
      <w:r w:rsidR="0049563C">
        <w:rPr>
          <w:sz w:val="28"/>
        </w:rPr>
        <w:t>.</w:t>
      </w:r>
    </w:p>
    <w:p w:rsidR="00051A23" w:rsidRDefault="00AF42D6" w:rsidP="00A07F53">
      <w:pPr>
        <w:pStyle w:val="ConsPlusNormal"/>
        <w:spacing w:line="23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в ходе</w:t>
      </w:r>
      <w:r w:rsidR="00EE2A77" w:rsidRPr="00051A23">
        <w:rPr>
          <w:rFonts w:ascii="Times New Roman" w:hAnsi="Times New Roman"/>
          <w:sz w:val="28"/>
        </w:rPr>
        <w:t xml:space="preserve"> экспертиз проектов муниципальных правовых актов установлено </w:t>
      </w:r>
      <w:r w:rsidR="007D4BEE">
        <w:rPr>
          <w:rFonts w:ascii="Times New Roman" w:hAnsi="Times New Roman"/>
          <w:sz w:val="28"/>
        </w:rPr>
        <w:t>96</w:t>
      </w:r>
      <w:r w:rsidR="00EE2A77" w:rsidRPr="00051A23">
        <w:rPr>
          <w:rFonts w:ascii="Times New Roman" w:hAnsi="Times New Roman"/>
          <w:sz w:val="28"/>
        </w:rPr>
        <w:t xml:space="preserve"> замечани</w:t>
      </w:r>
      <w:r w:rsidR="00403701">
        <w:rPr>
          <w:rFonts w:ascii="Times New Roman" w:hAnsi="Times New Roman"/>
          <w:sz w:val="28"/>
        </w:rPr>
        <w:t>й</w:t>
      </w:r>
      <w:r w:rsidR="00EE2A77" w:rsidRPr="00051A23">
        <w:rPr>
          <w:rFonts w:ascii="Times New Roman" w:hAnsi="Times New Roman"/>
          <w:sz w:val="28"/>
        </w:rPr>
        <w:t xml:space="preserve">, </w:t>
      </w:r>
      <w:r w:rsidR="00051A23" w:rsidRPr="00051A23">
        <w:rPr>
          <w:rFonts w:ascii="Times New Roman" w:hAnsi="Times New Roman"/>
          <w:sz w:val="28"/>
        </w:rPr>
        <w:t xml:space="preserve">по которым дано </w:t>
      </w:r>
      <w:r w:rsidR="007D4BEE">
        <w:rPr>
          <w:rFonts w:ascii="Times New Roman" w:hAnsi="Times New Roman"/>
          <w:sz w:val="28"/>
        </w:rPr>
        <w:t>91</w:t>
      </w:r>
      <w:r w:rsidR="00051A23" w:rsidRPr="00051A23">
        <w:rPr>
          <w:rFonts w:ascii="Times New Roman" w:hAnsi="Times New Roman"/>
          <w:sz w:val="28"/>
        </w:rPr>
        <w:t xml:space="preserve"> рекомендаци</w:t>
      </w:r>
      <w:r w:rsidR="007D4BEE">
        <w:rPr>
          <w:rFonts w:ascii="Times New Roman" w:hAnsi="Times New Roman"/>
          <w:sz w:val="28"/>
        </w:rPr>
        <w:t>я</w:t>
      </w:r>
      <w:r w:rsidR="006B436E">
        <w:rPr>
          <w:rFonts w:ascii="Times New Roman" w:hAnsi="Times New Roman"/>
          <w:sz w:val="28"/>
        </w:rPr>
        <w:t>, которые приняты и выполнены разработчиками проектов правовых актов</w:t>
      </w:r>
      <w:r w:rsidR="00051A23">
        <w:rPr>
          <w:rFonts w:ascii="Times New Roman" w:hAnsi="Times New Roman"/>
          <w:sz w:val="28"/>
        </w:rPr>
        <w:t xml:space="preserve">.  </w:t>
      </w:r>
    </w:p>
    <w:p w:rsidR="00AF42D6" w:rsidRDefault="00202378" w:rsidP="00A07F53">
      <w:pPr>
        <w:pStyle w:val="ConsPlusNormal"/>
        <w:spacing w:line="23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Значительная часть з</w:t>
      </w:r>
      <w:r w:rsidR="00827F3A">
        <w:rPr>
          <w:rFonts w:ascii="Times New Roman" w:hAnsi="Times New Roman"/>
          <w:sz w:val="28"/>
        </w:rPr>
        <w:t xml:space="preserve">амечаний (66%) установлена при экспертизе </w:t>
      </w:r>
      <w:r w:rsidRPr="00202378">
        <w:rPr>
          <w:rFonts w:ascii="Times New Roman" w:hAnsi="Times New Roman"/>
          <w:sz w:val="28"/>
        </w:rPr>
        <w:t>проект</w:t>
      </w:r>
      <w:r w:rsidR="00827F3A">
        <w:rPr>
          <w:rFonts w:ascii="Times New Roman" w:hAnsi="Times New Roman"/>
          <w:sz w:val="28"/>
        </w:rPr>
        <w:t>а</w:t>
      </w:r>
      <w:r w:rsidRPr="00202378">
        <w:rPr>
          <w:rFonts w:ascii="Times New Roman" w:hAnsi="Times New Roman"/>
          <w:sz w:val="28"/>
        </w:rPr>
        <w:t xml:space="preserve"> постановления администрации города Нефтеюганска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города Нефтеюганска и Правил расчёта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Нефтеюганска»</w:t>
      </w:r>
      <w:r w:rsidR="00827F3A">
        <w:rPr>
          <w:rFonts w:ascii="Times New Roman" w:hAnsi="Times New Roman"/>
          <w:sz w:val="28"/>
        </w:rPr>
        <w:t xml:space="preserve">. В результате совместного обсуждения с органами администрации Нефтеюганска установленных недостатков, из проекта исключены </w:t>
      </w:r>
      <w:r w:rsidR="00AF42D6">
        <w:rPr>
          <w:rFonts w:ascii="Times New Roman" w:hAnsi="Times New Roman"/>
          <w:sz w:val="28"/>
        </w:rPr>
        <w:t>необоснованны</w:t>
      </w:r>
      <w:r w:rsidR="00827F3A">
        <w:rPr>
          <w:rFonts w:ascii="Times New Roman" w:hAnsi="Times New Roman"/>
          <w:sz w:val="28"/>
        </w:rPr>
        <w:t>е</w:t>
      </w:r>
      <w:r w:rsidR="00AF42D6">
        <w:rPr>
          <w:rFonts w:ascii="Times New Roman" w:hAnsi="Times New Roman"/>
          <w:sz w:val="28"/>
        </w:rPr>
        <w:t xml:space="preserve"> расход</w:t>
      </w:r>
      <w:r w:rsidR="00827F3A">
        <w:rPr>
          <w:rFonts w:ascii="Times New Roman" w:hAnsi="Times New Roman"/>
          <w:sz w:val="28"/>
        </w:rPr>
        <w:t>ы</w:t>
      </w:r>
      <w:r w:rsidR="00AF42D6">
        <w:rPr>
          <w:rFonts w:ascii="Times New Roman" w:hAnsi="Times New Roman"/>
          <w:sz w:val="28"/>
        </w:rPr>
        <w:t xml:space="preserve"> на сумму 215 032 694 рублей 36 копеек.  </w:t>
      </w:r>
    </w:p>
    <w:p w:rsidR="00491D0E" w:rsidRDefault="00491D0E" w:rsidP="00CD4F4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Cs/>
          <w:sz w:val="28"/>
          <w:szCs w:val="28"/>
        </w:rPr>
      </w:pPr>
    </w:p>
    <w:p w:rsidR="00491D0E" w:rsidRDefault="00491D0E" w:rsidP="00A07F53">
      <w:pPr>
        <w:jc w:val="center"/>
        <w:rPr>
          <w:b/>
          <w:i/>
          <w:sz w:val="28"/>
          <w:szCs w:val="28"/>
          <w:shd w:val="clear" w:color="auto" w:fill="FFFFFF"/>
        </w:rPr>
      </w:pPr>
      <w:r w:rsidRPr="00007144">
        <w:rPr>
          <w:b/>
          <w:i/>
          <w:sz w:val="28"/>
          <w:szCs w:val="28"/>
          <w:shd w:val="clear" w:color="auto" w:fill="FFFFFF"/>
        </w:rPr>
        <w:t>Проведение оперативного анализа исполнения и контроля за организацией исполнения местного бю</w:t>
      </w:r>
      <w:r w:rsidR="00AF42D6">
        <w:rPr>
          <w:b/>
          <w:i/>
          <w:sz w:val="28"/>
          <w:szCs w:val="28"/>
          <w:shd w:val="clear" w:color="auto" w:fill="FFFFFF"/>
        </w:rPr>
        <w:t>джета в текущем финансовом году</w:t>
      </w:r>
      <w:r w:rsidRPr="00007144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491D0E" w:rsidRDefault="00491D0E" w:rsidP="00CD4F44">
      <w:pPr>
        <w:ind w:firstLine="851"/>
        <w:jc w:val="center"/>
        <w:rPr>
          <w:b/>
          <w:i/>
          <w:sz w:val="28"/>
          <w:szCs w:val="28"/>
          <w:shd w:val="clear" w:color="auto" w:fill="FFFFFF"/>
        </w:rPr>
      </w:pPr>
    </w:p>
    <w:p w:rsidR="00491D0E" w:rsidRPr="00D47CAD" w:rsidRDefault="00491D0E" w:rsidP="00A07F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исполнения бюджета города Нефтеюганска за 1 </w:t>
      </w:r>
      <w:r w:rsidR="00AF42D6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2022 года н</w:t>
      </w:r>
      <w:r w:rsidRPr="00B42A4C">
        <w:rPr>
          <w:sz w:val="28"/>
          <w:szCs w:val="28"/>
        </w:rPr>
        <w:t>арушений бюджетного законодательства в части отражения планируемых расходов на соответствующих кодах бюджетной классификации не установлено.</w:t>
      </w:r>
      <w:r w:rsidRPr="00D47CAD">
        <w:rPr>
          <w:sz w:val="28"/>
          <w:szCs w:val="28"/>
        </w:rPr>
        <w:t xml:space="preserve"> </w:t>
      </w:r>
    </w:p>
    <w:p w:rsidR="007C08D3" w:rsidRDefault="007C08D3" w:rsidP="00CD4F44">
      <w:pPr>
        <w:pStyle w:val="ConsPlusNormal"/>
        <w:spacing w:line="23" w:lineRule="atLeast"/>
        <w:ind w:firstLine="851"/>
        <w:jc w:val="both"/>
        <w:rPr>
          <w:rFonts w:ascii="Times New Roman" w:hAnsi="Times New Roman"/>
          <w:sz w:val="28"/>
        </w:rPr>
      </w:pPr>
    </w:p>
    <w:p w:rsidR="004A65B5" w:rsidRDefault="004A65B5" w:rsidP="00A07F53">
      <w:pPr>
        <w:tabs>
          <w:tab w:val="left" w:pos="567"/>
        </w:tabs>
        <w:spacing w:line="22" w:lineRule="atLeast"/>
        <w:jc w:val="center"/>
        <w:rPr>
          <w:b/>
          <w:sz w:val="28"/>
        </w:rPr>
      </w:pPr>
    </w:p>
    <w:p w:rsidR="002849E1" w:rsidRDefault="0059731E" w:rsidP="00A07F53">
      <w:pPr>
        <w:tabs>
          <w:tab w:val="left" w:pos="567"/>
        </w:tabs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lastRenderedPageBreak/>
        <w:t>Информационная деятельность</w:t>
      </w:r>
    </w:p>
    <w:p w:rsidR="002849E1" w:rsidRDefault="002849E1" w:rsidP="00CD4F44">
      <w:pPr>
        <w:tabs>
          <w:tab w:val="left" w:pos="567"/>
        </w:tabs>
        <w:spacing w:line="22" w:lineRule="atLeast"/>
        <w:ind w:firstLine="851"/>
        <w:jc w:val="center"/>
        <w:rPr>
          <w:sz w:val="28"/>
        </w:rPr>
      </w:pPr>
    </w:p>
    <w:p w:rsidR="002849E1" w:rsidRDefault="0059731E" w:rsidP="00A07F53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Информационная деятельность регламентирована статьёй 19 Федерального закона от</w:t>
      </w:r>
      <w:r w:rsidR="00A07F53">
        <w:rPr>
          <w:sz w:val="28"/>
        </w:rPr>
        <w:t xml:space="preserve"> 07.02.2011 № 6-ФЗ, Положением </w:t>
      </w:r>
      <w:r>
        <w:rPr>
          <w:sz w:val="28"/>
        </w:rPr>
        <w:t xml:space="preserve">о Счётной палате. </w:t>
      </w:r>
    </w:p>
    <w:p w:rsidR="002849E1" w:rsidRDefault="0059731E" w:rsidP="00A07F53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 отчётном периоде на официальном сайте органов местного самоуправления города Нефтеюганска размещено </w:t>
      </w:r>
      <w:r w:rsidR="00AF42D6">
        <w:rPr>
          <w:sz w:val="28"/>
        </w:rPr>
        <w:t>43</w:t>
      </w:r>
      <w:r w:rsidR="00655B22">
        <w:rPr>
          <w:sz w:val="28"/>
        </w:rPr>
        <w:t xml:space="preserve"> </w:t>
      </w:r>
      <w:r w:rsidR="007B74B6">
        <w:rPr>
          <w:sz w:val="28"/>
        </w:rPr>
        <w:t>материал</w:t>
      </w:r>
      <w:r w:rsidR="00AF42D6">
        <w:rPr>
          <w:sz w:val="28"/>
        </w:rPr>
        <w:t>а</w:t>
      </w:r>
      <w:r>
        <w:rPr>
          <w:sz w:val="28"/>
        </w:rPr>
        <w:t xml:space="preserve">. </w:t>
      </w:r>
    </w:p>
    <w:p w:rsidR="002849E1" w:rsidRDefault="002849E1" w:rsidP="00A07F53">
      <w:pPr>
        <w:tabs>
          <w:tab w:val="left" w:pos="0"/>
        </w:tabs>
        <w:ind w:firstLine="709"/>
        <w:jc w:val="both"/>
        <w:rPr>
          <w:sz w:val="28"/>
        </w:rPr>
      </w:pPr>
    </w:p>
    <w:p w:rsidR="00990575" w:rsidRDefault="00990575" w:rsidP="00CD4F44">
      <w:pPr>
        <w:tabs>
          <w:tab w:val="left" w:pos="0"/>
        </w:tabs>
        <w:spacing w:line="23" w:lineRule="atLeast"/>
        <w:ind w:firstLine="851"/>
        <w:jc w:val="both"/>
        <w:rPr>
          <w:sz w:val="28"/>
        </w:rPr>
      </w:pPr>
    </w:p>
    <w:p w:rsidR="002849E1" w:rsidRDefault="00EE2A77" w:rsidP="00AF42D6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>П</w:t>
      </w:r>
      <w:r w:rsidR="0059731E">
        <w:rPr>
          <w:sz w:val="28"/>
        </w:rPr>
        <w:t xml:space="preserve">редседатель                                                                                       С.А. Гичкина </w:t>
      </w:r>
    </w:p>
    <w:sectPr w:rsidR="002849E1" w:rsidSect="00A07F53">
      <w:headerReference w:type="default" r:id="rId8"/>
      <w:footerReference w:type="default" r:id="rId9"/>
      <w:pgSz w:w="11906" w:h="16838"/>
      <w:pgMar w:top="1134" w:right="566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CA" w:rsidRDefault="00992CCA">
      <w:r>
        <w:separator/>
      </w:r>
    </w:p>
  </w:endnote>
  <w:endnote w:type="continuationSeparator" w:id="0">
    <w:p w:rsidR="00992CCA" w:rsidRDefault="0099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CCA" w:rsidRDefault="00992CCA">
    <w:pPr>
      <w:pStyle w:val="af0"/>
      <w:jc w:val="center"/>
    </w:pPr>
  </w:p>
  <w:p w:rsidR="00992CCA" w:rsidRDefault="00992CC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CA" w:rsidRDefault="00992CCA">
      <w:r>
        <w:separator/>
      </w:r>
    </w:p>
  </w:footnote>
  <w:footnote w:type="continuationSeparator" w:id="0">
    <w:p w:rsidR="00992CCA" w:rsidRDefault="00992CCA">
      <w:r>
        <w:continuationSeparator/>
      </w:r>
    </w:p>
  </w:footnote>
  <w:footnote w:id="1">
    <w:p w:rsidR="00992CCA" w:rsidRDefault="00992CCA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 (далее – БК РФ).</w:t>
      </w:r>
    </w:p>
  </w:footnote>
  <w:footnote w:id="2">
    <w:p w:rsidR="00992CCA" w:rsidRDefault="00992CCA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t xml:space="preserve"> (далее – Федеральный закон от 07.02.2011 № 6-ФЗ).</w:t>
      </w:r>
    </w:p>
  </w:footnote>
  <w:footnote w:id="3">
    <w:p w:rsidR="00992CCA" w:rsidRDefault="00992CCA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27.09.2011 № 115-V</w:t>
      </w:r>
      <w:r>
        <w:t xml:space="preserve"> (далее – Положение о Счётной палате).</w:t>
      </w:r>
    </w:p>
  </w:footnote>
  <w:footnote w:id="4">
    <w:p w:rsidR="00992CCA" w:rsidRDefault="00992CCA">
      <w:pPr>
        <w:pStyle w:val="af7"/>
      </w:pPr>
      <w:r>
        <w:rPr>
          <w:rStyle w:val="af9"/>
        </w:rPr>
        <w:footnoteRef/>
      </w:r>
      <w:r>
        <w:t xml:space="preserve"> </w:t>
      </w:r>
      <w:r w:rsidRPr="00405FAC">
        <w:t>Федеральн</w:t>
      </w:r>
      <w:r>
        <w:t>ый</w:t>
      </w:r>
      <w:r w:rsidRPr="00405FAC">
        <w:t xml:space="preserve"> закон от 06.12.2011 № 402-ФЗ «О бухгалтерском учёте»</w:t>
      </w:r>
      <w:r>
        <w:t>.</w:t>
      </w:r>
    </w:p>
  </w:footnote>
  <w:footnote w:id="5">
    <w:p w:rsidR="00992CCA" w:rsidRDefault="00992CCA" w:rsidP="00024291">
      <w:pPr>
        <w:pStyle w:val="af7"/>
        <w:jc w:val="both"/>
      </w:pPr>
      <w:r w:rsidRPr="00024291">
        <w:footnoteRef/>
      </w:r>
      <w:r>
        <w:t xml:space="preserve"> Ф</w:t>
      </w:r>
      <w:r w:rsidRPr="00024291">
        <w:t>едеральн</w:t>
      </w:r>
      <w:r>
        <w:t>ый</w:t>
      </w:r>
      <w:r w:rsidRPr="00024291">
        <w:t xml:space="preserve"> стандарт бухгалтерского учёта для организаций государственного сектора «Запасы»,</w:t>
      </w:r>
      <w:r>
        <w:t xml:space="preserve"> </w:t>
      </w:r>
      <w:r w:rsidRPr="00024291">
        <w:t>утверждённ</w:t>
      </w:r>
      <w:r>
        <w:t>ый</w:t>
      </w:r>
      <w:r w:rsidRPr="00024291">
        <w:t xml:space="preserve"> Приказом Министерства финансов Российской Федерации от 07.12.2018 № 256н</w:t>
      </w:r>
      <w:r>
        <w:t>.</w:t>
      </w:r>
    </w:p>
  </w:footnote>
  <w:footnote w:id="6">
    <w:p w:rsidR="00992CCA" w:rsidRDefault="00992CCA" w:rsidP="00024291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024291">
        <w:t>Инструкци</w:t>
      </w:r>
      <w:r>
        <w:t>я</w:t>
      </w:r>
      <w:r w:rsidRPr="00024291">
        <w:t xml:space="preserve"> по применению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</w:t>
      </w:r>
      <w:r>
        <w:t>ая</w:t>
      </w:r>
      <w:r w:rsidRPr="00024291">
        <w:t xml:space="preserve"> Приказом Министерства финансов </w:t>
      </w:r>
      <w:bookmarkStart w:id="0" w:name="_GoBack"/>
      <w:bookmarkEnd w:id="0"/>
      <w:r w:rsidR="00251967" w:rsidRPr="00024291">
        <w:t>Российской Федерации</w:t>
      </w:r>
      <w:r w:rsidRPr="00024291">
        <w:t xml:space="preserve"> от 01.12.2010 № 157н</w:t>
      </w:r>
      <w:r>
        <w:t>.</w:t>
      </w:r>
    </w:p>
  </w:footnote>
  <w:footnote w:id="7">
    <w:p w:rsidR="00992CCA" w:rsidRDefault="00992CCA" w:rsidP="00024291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024291">
        <w:t>Инструкци</w:t>
      </w:r>
      <w:r>
        <w:t>я</w:t>
      </w:r>
      <w:r w:rsidRPr="00024291">
        <w:t xml:space="preserve"> по применению Плана счетов бюджетного учёта, утверждённ</w:t>
      </w:r>
      <w:r>
        <w:t>ая</w:t>
      </w:r>
      <w:r w:rsidRPr="00024291">
        <w:t xml:space="preserve"> Приказом Министерства</w:t>
      </w:r>
      <w:r>
        <w:t xml:space="preserve"> </w:t>
      </w:r>
      <w:r w:rsidRPr="00024291">
        <w:t>финансов Российской Федерации от 06.12.2010 № 162н</w:t>
      </w:r>
      <w:r>
        <w:t>.</w:t>
      </w:r>
    </w:p>
  </w:footnote>
  <w:footnote w:id="8">
    <w:p w:rsidR="00992CCA" w:rsidRDefault="00992CCA" w:rsidP="00E70AA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E70AA7">
        <w:t>Федеральн</w:t>
      </w:r>
      <w:r>
        <w:t>ый</w:t>
      </w:r>
      <w:r w:rsidRPr="00E70AA7">
        <w:t xml:space="preserve"> закон от 05.04.2013№ 44-ФЗ «О контрактной системе в сфере закупок товаров, работ, услуг для обеспечения государственных и муниципальных нужд»</w:t>
      </w:r>
      <w:r>
        <w:t>.</w:t>
      </w:r>
    </w:p>
  </w:footnote>
  <w:footnote w:id="9">
    <w:p w:rsidR="00992CCA" w:rsidRDefault="00992CCA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Поряд</w:t>
      </w:r>
      <w:r>
        <w:t>о</w:t>
      </w:r>
      <w:r w:rsidRPr="00C476EF">
        <w:t>к принятия решения о разработке муниципальных программ города Нефтеюганска, их формирования, утверждения и реализации, утверждённ</w:t>
      </w:r>
      <w:r>
        <w:t>ый</w:t>
      </w:r>
      <w:r w:rsidRPr="00C476EF"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CCA" w:rsidRDefault="00992CC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51967">
      <w:rPr>
        <w:noProof/>
      </w:rPr>
      <w:t>2</w:t>
    </w:r>
    <w:r>
      <w:fldChar w:fldCharType="end"/>
    </w:r>
  </w:p>
  <w:p w:rsidR="00992CCA" w:rsidRDefault="00992CCA">
    <w:pPr>
      <w:pStyle w:val="ae"/>
      <w:jc w:val="center"/>
    </w:pPr>
  </w:p>
  <w:p w:rsidR="00992CCA" w:rsidRDefault="00992CC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14A6D"/>
    <w:multiLevelType w:val="hybridMultilevel"/>
    <w:tmpl w:val="7C5C7116"/>
    <w:lvl w:ilvl="0" w:tplc="ED06A36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193F64"/>
    <w:multiLevelType w:val="hybridMultilevel"/>
    <w:tmpl w:val="D298C85A"/>
    <w:lvl w:ilvl="0" w:tplc="D1A4F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D43A8"/>
    <w:multiLevelType w:val="hybridMultilevel"/>
    <w:tmpl w:val="AA8897B6"/>
    <w:lvl w:ilvl="0" w:tplc="42DA2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E1"/>
    <w:rsid w:val="00005D26"/>
    <w:rsid w:val="0001244E"/>
    <w:rsid w:val="0002108E"/>
    <w:rsid w:val="00024291"/>
    <w:rsid w:val="000246F3"/>
    <w:rsid w:val="00046BB3"/>
    <w:rsid w:val="0005158C"/>
    <w:rsid w:val="00051A23"/>
    <w:rsid w:val="00053105"/>
    <w:rsid w:val="00057008"/>
    <w:rsid w:val="000646D0"/>
    <w:rsid w:val="000649B5"/>
    <w:rsid w:val="000719F6"/>
    <w:rsid w:val="000722E3"/>
    <w:rsid w:val="000863A7"/>
    <w:rsid w:val="00096B92"/>
    <w:rsid w:val="000A0449"/>
    <w:rsid w:val="000A7027"/>
    <w:rsid w:val="000B7DF9"/>
    <w:rsid w:val="000C17E9"/>
    <w:rsid w:val="000C320F"/>
    <w:rsid w:val="000E054B"/>
    <w:rsid w:val="000E2028"/>
    <w:rsid w:val="000F0793"/>
    <w:rsid w:val="000F0AE0"/>
    <w:rsid w:val="000F2364"/>
    <w:rsid w:val="000F4770"/>
    <w:rsid w:val="001012F6"/>
    <w:rsid w:val="00105489"/>
    <w:rsid w:val="00110ACC"/>
    <w:rsid w:val="001122B9"/>
    <w:rsid w:val="00112536"/>
    <w:rsid w:val="001167CF"/>
    <w:rsid w:val="001206AD"/>
    <w:rsid w:val="00120DA7"/>
    <w:rsid w:val="001231D7"/>
    <w:rsid w:val="001459B0"/>
    <w:rsid w:val="00147CF9"/>
    <w:rsid w:val="001561A2"/>
    <w:rsid w:val="00156741"/>
    <w:rsid w:val="00164C81"/>
    <w:rsid w:val="0016629D"/>
    <w:rsid w:val="001748FB"/>
    <w:rsid w:val="001A5731"/>
    <w:rsid w:val="001B363A"/>
    <w:rsid w:val="001C1116"/>
    <w:rsid w:val="001C2201"/>
    <w:rsid w:val="001C35F8"/>
    <w:rsid w:val="001C38C7"/>
    <w:rsid w:val="001D5DC6"/>
    <w:rsid w:val="001D69BF"/>
    <w:rsid w:val="001D789D"/>
    <w:rsid w:val="001E125E"/>
    <w:rsid w:val="001E52CF"/>
    <w:rsid w:val="001E7BB7"/>
    <w:rsid w:val="001F03B3"/>
    <w:rsid w:val="001F405F"/>
    <w:rsid w:val="001F633F"/>
    <w:rsid w:val="00200072"/>
    <w:rsid w:val="00202378"/>
    <w:rsid w:val="00202396"/>
    <w:rsid w:val="002061D2"/>
    <w:rsid w:val="00207656"/>
    <w:rsid w:val="00210DCE"/>
    <w:rsid w:val="002158C9"/>
    <w:rsid w:val="0022435F"/>
    <w:rsid w:val="002255F2"/>
    <w:rsid w:val="00227C46"/>
    <w:rsid w:val="00233F52"/>
    <w:rsid w:val="00240AE8"/>
    <w:rsid w:val="00247351"/>
    <w:rsid w:val="002477C9"/>
    <w:rsid w:val="00250B34"/>
    <w:rsid w:val="00251967"/>
    <w:rsid w:val="0025341C"/>
    <w:rsid w:val="0026287F"/>
    <w:rsid w:val="00276885"/>
    <w:rsid w:val="002849E1"/>
    <w:rsid w:val="00290D6D"/>
    <w:rsid w:val="002947D8"/>
    <w:rsid w:val="00297705"/>
    <w:rsid w:val="002A0286"/>
    <w:rsid w:val="002A681F"/>
    <w:rsid w:val="002D080F"/>
    <w:rsid w:val="002D5856"/>
    <w:rsid w:val="002E4B03"/>
    <w:rsid w:val="002E578E"/>
    <w:rsid w:val="002F1EBC"/>
    <w:rsid w:val="002F3763"/>
    <w:rsid w:val="002F49EA"/>
    <w:rsid w:val="002F6B89"/>
    <w:rsid w:val="003035A4"/>
    <w:rsid w:val="00305202"/>
    <w:rsid w:val="003059E1"/>
    <w:rsid w:val="00307981"/>
    <w:rsid w:val="00310255"/>
    <w:rsid w:val="00311B6E"/>
    <w:rsid w:val="003146C4"/>
    <w:rsid w:val="0032200B"/>
    <w:rsid w:val="0032261F"/>
    <w:rsid w:val="003270F3"/>
    <w:rsid w:val="003274BA"/>
    <w:rsid w:val="00330504"/>
    <w:rsid w:val="00331ACF"/>
    <w:rsid w:val="00341EF2"/>
    <w:rsid w:val="003445D8"/>
    <w:rsid w:val="003540D3"/>
    <w:rsid w:val="003544FE"/>
    <w:rsid w:val="0037468F"/>
    <w:rsid w:val="00374FB9"/>
    <w:rsid w:val="00385DB6"/>
    <w:rsid w:val="003864ED"/>
    <w:rsid w:val="00390DAE"/>
    <w:rsid w:val="003912F8"/>
    <w:rsid w:val="00396791"/>
    <w:rsid w:val="003B2DB6"/>
    <w:rsid w:val="003C2240"/>
    <w:rsid w:val="003D173D"/>
    <w:rsid w:val="003D19FA"/>
    <w:rsid w:val="003D39FE"/>
    <w:rsid w:val="003D4366"/>
    <w:rsid w:val="003E1470"/>
    <w:rsid w:val="00400A43"/>
    <w:rsid w:val="00403701"/>
    <w:rsid w:val="00405FAC"/>
    <w:rsid w:val="004079D3"/>
    <w:rsid w:val="00410305"/>
    <w:rsid w:val="004123B5"/>
    <w:rsid w:val="004201BA"/>
    <w:rsid w:val="00422F5A"/>
    <w:rsid w:val="0042450D"/>
    <w:rsid w:val="00424926"/>
    <w:rsid w:val="00440F77"/>
    <w:rsid w:val="004528D9"/>
    <w:rsid w:val="00454E81"/>
    <w:rsid w:val="004744D5"/>
    <w:rsid w:val="00484F2B"/>
    <w:rsid w:val="00491D0E"/>
    <w:rsid w:val="00493A62"/>
    <w:rsid w:val="0049563C"/>
    <w:rsid w:val="004A24F2"/>
    <w:rsid w:val="004A500B"/>
    <w:rsid w:val="004A65B5"/>
    <w:rsid w:val="004B4C8A"/>
    <w:rsid w:val="004B4CBA"/>
    <w:rsid w:val="004B4F18"/>
    <w:rsid w:val="004C569B"/>
    <w:rsid w:val="004D00FD"/>
    <w:rsid w:val="004D5AAF"/>
    <w:rsid w:val="004D7E03"/>
    <w:rsid w:val="004E374C"/>
    <w:rsid w:val="004E7D8E"/>
    <w:rsid w:val="004F0BDC"/>
    <w:rsid w:val="00502395"/>
    <w:rsid w:val="00507285"/>
    <w:rsid w:val="00515B6A"/>
    <w:rsid w:val="00536BBC"/>
    <w:rsid w:val="005425E2"/>
    <w:rsid w:val="00545CF2"/>
    <w:rsid w:val="0055052A"/>
    <w:rsid w:val="00552315"/>
    <w:rsid w:val="00555B4D"/>
    <w:rsid w:val="00557D24"/>
    <w:rsid w:val="005602FE"/>
    <w:rsid w:val="00576817"/>
    <w:rsid w:val="00577704"/>
    <w:rsid w:val="00580D6D"/>
    <w:rsid w:val="00594F36"/>
    <w:rsid w:val="0059731E"/>
    <w:rsid w:val="005A1266"/>
    <w:rsid w:val="005A59F5"/>
    <w:rsid w:val="005A6DF0"/>
    <w:rsid w:val="005C59C6"/>
    <w:rsid w:val="005D7098"/>
    <w:rsid w:val="005D7963"/>
    <w:rsid w:val="005E7115"/>
    <w:rsid w:val="005F46BF"/>
    <w:rsid w:val="005F63FE"/>
    <w:rsid w:val="005F671E"/>
    <w:rsid w:val="00610151"/>
    <w:rsid w:val="006113BC"/>
    <w:rsid w:val="00641489"/>
    <w:rsid w:val="00655B22"/>
    <w:rsid w:val="00656D8A"/>
    <w:rsid w:val="00674ED9"/>
    <w:rsid w:val="006809EE"/>
    <w:rsid w:val="00685478"/>
    <w:rsid w:val="00686E19"/>
    <w:rsid w:val="0069680A"/>
    <w:rsid w:val="006A42D4"/>
    <w:rsid w:val="006A7F15"/>
    <w:rsid w:val="006B14EF"/>
    <w:rsid w:val="006B20AB"/>
    <w:rsid w:val="006B2994"/>
    <w:rsid w:val="006B436E"/>
    <w:rsid w:val="006B7D14"/>
    <w:rsid w:val="006C2E98"/>
    <w:rsid w:val="006D2AF5"/>
    <w:rsid w:val="006E0B4F"/>
    <w:rsid w:val="006F3596"/>
    <w:rsid w:val="006F3872"/>
    <w:rsid w:val="006F56BB"/>
    <w:rsid w:val="00702D40"/>
    <w:rsid w:val="00703801"/>
    <w:rsid w:val="00714887"/>
    <w:rsid w:val="00717C9D"/>
    <w:rsid w:val="00720CFF"/>
    <w:rsid w:val="007220F7"/>
    <w:rsid w:val="00727846"/>
    <w:rsid w:val="007312C0"/>
    <w:rsid w:val="0073484D"/>
    <w:rsid w:val="00740BC4"/>
    <w:rsid w:val="00744095"/>
    <w:rsid w:val="007548F9"/>
    <w:rsid w:val="007603D0"/>
    <w:rsid w:val="007620AE"/>
    <w:rsid w:val="007704EA"/>
    <w:rsid w:val="00774D43"/>
    <w:rsid w:val="00783CC1"/>
    <w:rsid w:val="0079646D"/>
    <w:rsid w:val="007A59C5"/>
    <w:rsid w:val="007A7A95"/>
    <w:rsid w:val="007B325E"/>
    <w:rsid w:val="007B74B6"/>
    <w:rsid w:val="007C08D3"/>
    <w:rsid w:val="007D39AB"/>
    <w:rsid w:val="007D4BEE"/>
    <w:rsid w:val="007D4E84"/>
    <w:rsid w:val="007D55C0"/>
    <w:rsid w:val="007D6233"/>
    <w:rsid w:val="007D7657"/>
    <w:rsid w:val="007D786E"/>
    <w:rsid w:val="007E448B"/>
    <w:rsid w:val="007E6F7A"/>
    <w:rsid w:val="007F2DF0"/>
    <w:rsid w:val="007F42BB"/>
    <w:rsid w:val="00806A9F"/>
    <w:rsid w:val="00814C1D"/>
    <w:rsid w:val="00825E00"/>
    <w:rsid w:val="00827F3A"/>
    <w:rsid w:val="008324A6"/>
    <w:rsid w:val="00833CD5"/>
    <w:rsid w:val="008356C0"/>
    <w:rsid w:val="00835BDC"/>
    <w:rsid w:val="00840CAC"/>
    <w:rsid w:val="00843932"/>
    <w:rsid w:val="00852E1F"/>
    <w:rsid w:val="00862CCB"/>
    <w:rsid w:val="00862E4E"/>
    <w:rsid w:val="0086355A"/>
    <w:rsid w:val="00866196"/>
    <w:rsid w:val="00874E0D"/>
    <w:rsid w:val="00877785"/>
    <w:rsid w:val="00882916"/>
    <w:rsid w:val="008833AF"/>
    <w:rsid w:val="00891584"/>
    <w:rsid w:val="00896805"/>
    <w:rsid w:val="008978F2"/>
    <w:rsid w:val="008A1EFD"/>
    <w:rsid w:val="008A72C3"/>
    <w:rsid w:val="008B0DDA"/>
    <w:rsid w:val="008B20FC"/>
    <w:rsid w:val="008B214B"/>
    <w:rsid w:val="008B7934"/>
    <w:rsid w:val="008C3ABC"/>
    <w:rsid w:val="008C5CF0"/>
    <w:rsid w:val="008D124A"/>
    <w:rsid w:val="008D3F87"/>
    <w:rsid w:val="008E2698"/>
    <w:rsid w:val="008E5ACC"/>
    <w:rsid w:val="008E7655"/>
    <w:rsid w:val="008F370C"/>
    <w:rsid w:val="00904FFC"/>
    <w:rsid w:val="00913117"/>
    <w:rsid w:val="009158E8"/>
    <w:rsid w:val="00933B3F"/>
    <w:rsid w:val="00950686"/>
    <w:rsid w:val="0095761C"/>
    <w:rsid w:val="00962BD0"/>
    <w:rsid w:val="00990575"/>
    <w:rsid w:val="00990C0D"/>
    <w:rsid w:val="00992CCA"/>
    <w:rsid w:val="00996326"/>
    <w:rsid w:val="009A0C74"/>
    <w:rsid w:val="009A5CE4"/>
    <w:rsid w:val="009D1992"/>
    <w:rsid w:val="009E3621"/>
    <w:rsid w:val="009E501D"/>
    <w:rsid w:val="009E5EB2"/>
    <w:rsid w:val="009E7F6A"/>
    <w:rsid w:val="00A052A0"/>
    <w:rsid w:val="00A07C05"/>
    <w:rsid w:val="00A07F53"/>
    <w:rsid w:val="00A10245"/>
    <w:rsid w:val="00A10E9E"/>
    <w:rsid w:val="00A11338"/>
    <w:rsid w:val="00A11457"/>
    <w:rsid w:val="00A114C1"/>
    <w:rsid w:val="00A12CC6"/>
    <w:rsid w:val="00A20907"/>
    <w:rsid w:val="00A20C31"/>
    <w:rsid w:val="00A25233"/>
    <w:rsid w:val="00A412D4"/>
    <w:rsid w:val="00A71B5D"/>
    <w:rsid w:val="00A7407F"/>
    <w:rsid w:val="00A80F84"/>
    <w:rsid w:val="00A8331A"/>
    <w:rsid w:val="00AA038B"/>
    <w:rsid w:val="00AA1167"/>
    <w:rsid w:val="00AA693C"/>
    <w:rsid w:val="00AA7D57"/>
    <w:rsid w:val="00AB1666"/>
    <w:rsid w:val="00AB2C9A"/>
    <w:rsid w:val="00AB2ECE"/>
    <w:rsid w:val="00AB59EF"/>
    <w:rsid w:val="00AC5629"/>
    <w:rsid w:val="00AF2506"/>
    <w:rsid w:val="00AF3875"/>
    <w:rsid w:val="00AF3E2E"/>
    <w:rsid w:val="00AF42D6"/>
    <w:rsid w:val="00AF6F39"/>
    <w:rsid w:val="00B029ED"/>
    <w:rsid w:val="00B131A9"/>
    <w:rsid w:val="00B17641"/>
    <w:rsid w:val="00B229F9"/>
    <w:rsid w:val="00B336CF"/>
    <w:rsid w:val="00B4176B"/>
    <w:rsid w:val="00B42A3B"/>
    <w:rsid w:val="00B51DB9"/>
    <w:rsid w:val="00B53728"/>
    <w:rsid w:val="00B56475"/>
    <w:rsid w:val="00B649B2"/>
    <w:rsid w:val="00B70644"/>
    <w:rsid w:val="00B707BF"/>
    <w:rsid w:val="00B710A0"/>
    <w:rsid w:val="00B80C65"/>
    <w:rsid w:val="00B83D42"/>
    <w:rsid w:val="00B92123"/>
    <w:rsid w:val="00BA164F"/>
    <w:rsid w:val="00BC01A1"/>
    <w:rsid w:val="00BD2B4A"/>
    <w:rsid w:val="00BD4A4F"/>
    <w:rsid w:val="00BE23AD"/>
    <w:rsid w:val="00BE2FD6"/>
    <w:rsid w:val="00BE476B"/>
    <w:rsid w:val="00BE5CD3"/>
    <w:rsid w:val="00BE6804"/>
    <w:rsid w:val="00BE68D7"/>
    <w:rsid w:val="00BF7A82"/>
    <w:rsid w:val="00BF7FE7"/>
    <w:rsid w:val="00C06344"/>
    <w:rsid w:val="00C06B7B"/>
    <w:rsid w:val="00C26AC8"/>
    <w:rsid w:val="00C35138"/>
    <w:rsid w:val="00C472B0"/>
    <w:rsid w:val="00C476EF"/>
    <w:rsid w:val="00C52DFE"/>
    <w:rsid w:val="00C671A9"/>
    <w:rsid w:val="00C74126"/>
    <w:rsid w:val="00C805E5"/>
    <w:rsid w:val="00C922D8"/>
    <w:rsid w:val="00C938D4"/>
    <w:rsid w:val="00C95A70"/>
    <w:rsid w:val="00C95F8D"/>
    <w:rsid w:val="00CA4B9C"/>
    <w:rsid w:val="00CB1449"/>
    <w:rsid w:val="00CB6155"/>
    <w:rsid w:val="00CB69B9"/>
    <w:rsid w:val="00CD4F44"/>
    <w:rsid w:val="00CD5133"/>
    <w:rsid w:val="00CD5D66"/>
    <w:rsid w:val="00CF23D2"/>
    <w:rsid w:val="00CF3490"/>
    <w:rsid w:val="00D02664"/>
    <w:rsid w:val="00D05ADD"/>
    <w:rsid w:val="00D135C9"/>
    <w:rsid w:val="00D140E1"/>
    <w:rsid w:val="00D27A4C"/>
    <w:rsid w:val="00D35C3F"/>
    <w:rsid w:val="00D36BAB"/>
    <w:rsid w:val="00D42830"/>
    <w:rsid w:val="00D50FB3"/>
    <w:rsid w:val="00D50FF0"/>
    <w:rsid w:val="00D5188A"/>
    <w:rsid w:val="00D57025"/>
    <w:rsid w:val="00D66C7A"/>
    <w:rsid w:val="00D70D10"/>
    <w:rsid w:val="00D71593"/>
    <w:rsid w:val="00D7686A"/>
    <w:rsid w:val="00D7726B"/>
    <w:rsid w:val="00D864EF"/>
    <w:rsid w:val="00D94555"/>
    <w:rsid w:val="00D9594B"/>
    <w:rsid w:val="00DA1840"/>
    <w:rsid w:val="00DA2F1A"/>
    <w:rsid w:val="00DB42FE"/>
    <w:rsid w:val="00DD589A"/>
    <w:rsid w:val="00DD5C4A"/>
    <w:rsid w:val="00DD71F4"/>
    <w:rsid w:val="00DE1FB7"/>
    <w:rsid w:val="00DE32CF"/>
    <w:rsid w:val="00DE6A71"/>
    <w:rsid w:val="00DF693A"/>
    <w:rsid w:val="00DF747C"/>
    <w:rsid w:val="00E055CC"/>
    <w:rsid w:val="00E05C5E"/>
    <w:rsid w:val="00E10125"/>
    <w:rsid w:val="00E12845"/>
    <w:rsid w:val="00E45A30"/>
    <w:rsid w:val="00E4603F"/>
    <w:rsid w:val="00E61354"/>
    <w:rsid w:val="00E61B80"/>
    <w:rsid w:val="00E64960"/>
    <w:rsid w:val="00E70AA7"/>
    <w:rsid w:val="00E720E3"/>
    <w:rsid w:val="00E74E5C"/>
    <w:rsid w:val="00E8579F"/>
    <w:rsid w:val="00E90470"/>
    <w:rsid w:val="00E91EAB"/>
    <w:rsid w:val="00EE2546"/>
    <w:rsid w:val="00EE2A77"/>
    <w:rsid w:val="00EE7558"/>
    <w:rsid w:val="00EF2E22"/>
    <w:rsid w:val="00EF6267"/>
    <w:rsid w:val="00F01061"/>
    <w:rsid w:val="00F06BDB"/>
    <w:rsid w:val="00F07B20"/>
    <w:rsid w:val="00F240BC"/>
    <w:rsid w:val="00F25E59"/>
    <w:rsid w:val="00F26D06"/>
    <w:rsid w:val="00F26F76"/>
    <w:rsid w:val="00F3286E"/>
    <w:rsid w:val="00F373F4"/>
    <w:rsid w:val="00F46D17"/>
    <w:rsid w:val="00F6032E"/>
    <w:rsid w:val="00F63B36"/>
    <w:rsid w:val="00F63DA5"/>
    <w:rsid w:val="00F67A59"/>
    <w:rsid w:val="00F75601"/>
    <w:rsid w:val="00F771E2"/>
    <w:rsid w:val="00F8478F"/>
    <w:rsid w:val="00FA325D"/>
    <w:rsid w:val="00FB4A95"/>
    <w:rsid w:val="00FC644B"/>
    <w:rsid w:val="00FD0B9E"/>
    <w:rsid w:val="00FD2941"/>
    <w:rsid w:val="00FE0EF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AB857-AFE5-4F7E-AE4C-3939FA1B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uiPriority w:val="99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  <w:style w:type="character" w:customStyle="1" w:styleId="blk">
    <w:name w:val="blk"/>
    <w:basedOn w:val="a0"/>
    <w:rsid w:val="00D9594B"/>
  </w:style>
  <w:style w:type="character" w:customStyle="1" w:styleId="hl">
    <w:name w:val="hl"/>
    <w:basedOn w:val="a0"/>
    <w:rsid w:val="008E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EA5C-60DE-4CA6-9583-01630CB8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7976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170</cp:revision>
  <cp:lastPrinted>2022-11-16T07:49:00Z</cp:lastPrinted>
  <dcterms:created xsi:type="dcterms:W3CDTF">2019-08-27T05:54:00Z</dcterms:created>
  <dcterms:modified xsi:type="dcterms:W3CDTF">2022-12-23T10:55:00Z</dcterms:modified>
</cp:coreProperties>
</file>