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C359CC" w:rsidRDefault="000738EF" w:rsidP="00B76994">
      <w:pPr>
        <w:widowControl w:val="0"/>
        <w:jc w:val="center"/>
        <w:rPr>
          <w:sz w:val="28"/>
          <w:szCs w:val="28"/>
        </w:rPr>
      </w:pPr>
      <w:r w:rsidRPr="00C359CC">
        <w:rPr>
          <w:sz w:val="28"/>
          <w:szCs w:val="28"/>
        </w:rPr>
        <w:t xml:space="preserve">О реализации национального проекта «Образование» </w:t>
      </w:r>
      <w:r w:rsidR="0009035E" w:rsidRPr="00C359CC">
        <w:rPr>
          <w:sz w:val="28"/>
          <w:szCs w:val="28"/>
        </w:rPr>
        <w:t>на 01.1</w:t>
      </w:r>
      <w:r w:rsidR="00F61DB1">
        <w:rPr>
          <w:sz w:val="28"/>
          <w:szCs w:val="28"/>
        </w:rPr>
        <w:t>2</w:t>
      </w:r>
      <w:r w:rsidR="00270890" w:rsidRPr="00C359CC">
        <w:rPr>
          <w:sz w:val="28"/>
          <w:szCs w:val="28"/>
        </w:rPr>
        <w:t>.</w:t>
      </w:r>
      <w:r w:rsidRPr="00C359CC">
        <w:rPr>
          <w:sz w:val="28"/>
          <w:szCs w:val="28"/>
        </w:rPr>
        <w:t>202</w:t>
      </w:r>
      <w:r w:rsidR="00270890" w:rsidRPr="00C359CC">
        <w:rPr>
          <w:sz w:val="28"/>
          <w:szCs w:val="28"/>
        </w:rPr>
        <w:t>2</w:t>
      </w:r>
    </w:p>
    <w:p w:rsidR="000B58D9" w:rsidRDefault="000B58D9" w:rsidP="002C55A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Pr="006962C0" w:rsidRDefault="002C55A1" w:rsidP="002C55A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региональной составляющей 7 федеральных проектов (далее - Проекты):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-«Социальная активность»;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2C55A1" w:rsidRPr="006962C0" w:rsidRDefault="002C55A1" w:rsidP="002C55A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2C55A1" w:rsidRDefault="002C55A1" w:rsidP="002C55A1">
      <w:pPr>
        <w:widowControl w:val="0"/>
        <w:ind w:firstLine="709"/>
        <w:jc w:val="both"/>
        <w:rPr>
          <w:b/>
          <w:sz w:val="28"/>
          <w:szCs w:val="28"/>
        </w:rPr>
      </w:pPr>
    </w:p>
    <w:p w:rsidR="002C55A1" w:rsidRDefault="002C55A1" w:rsidP="002C55A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2C55A1" w:rsidRPr="00C359CC" w:rsidRDefault="002C55A1" w:rsidP="002C55A1">
      <w:pPr>
        <w:widowControl w:val="0"/>
        <w:ind w:firstLine="709"/>
        <w:jc w:val="both"/>
        <w:rPr>
          <w:i/>
          <w:sz w:val="28"/>
          <w:szCs w:val="28"/>
        </w:rPr>
      </w:pPr>
      <w:r w:rsidRPr="00C359CC">
        <w:rPr>
          <w:i/>
          <w:sz w:val="28"/>
          <w:szCs w:val="28"/>
        </w:rPr>
        <w:t>Региональный проект «Современная школа»</w:t>
      </w:r>
    </w:p>
    <w:p w:rsidR="002C55A1" w:rsidRPr="00C359CC" w:rsidRDefault="002C55A1" w:rsidP="002C55A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359CC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C359CC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C359CC">
        <w:rPr>
          <w:rFonts w:eastAsia="Calibri"/>
          <w:sz w:val="28"/>
          <w:szCs w:val="28"/>
        </w:rPr>
        <w:t xml:space="preserve">. </w:t>
      </w:r>
      <w:proofErr w:type="gramEnd"/>
    </w:p>
    <w:p w:rsidR="002C55A1" w:rsidRPr="003B10F0" w:rsidRDefault="002C55A1" w:rsidP="002C55A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rFonts w:eastAsia="Calibri"/>
          <w:sz w:val="28"/>
          <w:szCs w:val="28"/>
        </w:rPr>
        <w:t>Д</w:t>
      </w:r>
      <w:r w:rsidRPr="00C359CC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планируется участие обучающихся общеобразовательных организаций </w:t>
      </w:r>
      <w:proofErr w:type="gramStart"/>
      <w:r w:rsidRPr="00C359CC">
        <w:rPr>
          <w:color w:val="000000" w:themeColor="text1"/>
          <w:sz w:val="28"/>
          <w:szCs w:val="28"/>
        </w:rPr>
        <w:t>в</w:t>
      </w:r>
      <w:proofErr w:type="gramEnd"/>
      <w:r w:rsidRPr="00C359CC">
        <w:rPr>
          <w:color w:val="000000" w:themeColor="text1"/>
          <w:sz w:val="28"/>
          <w:szCs w:val="28"/>
        </w:rPr>
        <w:t>:</w:t>
      </w:r>
    </w:p>
    <w:p w:rsidR="002C55A1" w:rsidRPr="003B10F0" w:rsidRDefault="002C55A1" w:rsidP="002C55A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B10F0">
        <w:rPr>
          <w:color w:val="000000" w:themeColor="text1"/>
          <w:sz w:val="28"/>
          <w:szCs w:val="28"/>
        </w:rPr>
        <w:t>-региональной оценке по модели «PISA»;</w:t>
      </w:r>
    </w:p>
    <w:p w:rsidR="002C55A1" w:rsidRPr="003B10F0" w:rsidRDefault="002C55A1" w:rsidP="002C55A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B10F0">
        <w:rPr>
          <w:color w:val="000000" w:themeColor="text1"/>
          <w:sz w:val="28"/>
          <w:szCs w:val="28"/>
        </w:rPr>
        <w:t xml:space="preserve">-всероссийских проверочных </w:t>
      </w:r>
      <w:proofErr w:type="gramStart"/>
      <w:r w:rsidRPr="003B10F0">
        <w:rPr>
          <w:color w:val="000000" w:themeColor="text1"/>
          <w:sz w:val="28"/>
          <w:szCs w:val="28"/>
        </w:rPr>
        <w:t>работах</w:t>
      </w:r>
      <w:proofErr w:type="gramEnd"/>
      <w:r w:rsidRPr="003B10F0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2C55A1" w:rsidRPr="00C359CC" w:rsidRDefault="002C55A1" w:rsidP="002C55A1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B10F0">
        <w:rPr>
          <w:color w:val="000000" w:themeColor="text1"/>
          <w:sz w:val="28"/>
          <w:szCs w:val="28"/>
        </w:rPr>
        <w:t>-</w:t>
      </w:r>
      <w:proofErr w:type="gramStart"/>
      <w:r w:rsidRPr="003B10F0">
        <w:rPr>
          <w:color w:val="000000" w:themeColor="text1"/>
          <w:sz w:val="28"/>
          <w:szCs w:val="28"/>
        </w:rPr>
        <w:t>мониторинге</w:t>
      </w:r>
      <w:proofErr w:type="gramEnd"/>
      <w:r w:rsidRPr="003B10F0">
        <w:rPr>
          <w:color w:val="000000" w:themeColor="text1"/>
          <w:sz w:val="28"/>
          <w:szCs w:val="28"/>
        </w:rPr>
        <w:t xml:space="preserve"> функциональной</w:t>
      </w:r>
      <w:r w:rsidRPr="00C359CC">
        <w:rPr>
          <w:sz w:val="28"/>
          <w:szCs w:val="28"/>
        </w:rPr>
        <w:t xml:space="preserve"> грамотности; </w:t>
      </w:r>
    </w:p>
    <w:p w:rsidR="002C55A1" w:rsidRPr="00C359CC" w:rsidRDefault="002C55A1" w:rsidP="002C55A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359CC">
        <w:rPr>
          <w:sz w:val="28"/>
          <w:szCs w:val="28"/>
        </w:rPr>
        <w:t>-репетиционных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2C55A1" w:rsidRPr="00C359CC" w:rsidRDefault="002C55A1" w:rsidP="002C55A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sz w:val="28"/>
          <w:szCs w:val="28"/>
        </w:rPr>
        <w:t>В 2022 году достижение показателя по отношению среднего балла ЕГЭ в 10% школ с лучшими результатами к среднему баллу в 10% школ с худшими результатами составило 1,28 ед. (план 2022 г. - 1,37 ед.). Для обеспечения указанного результата проведены репетиционные экзамены, как</w:t>
      </w:r>
      <w:r w:rsidRPr="00C359CC">
        <w:rPr>
          <w:rFonts w:eastAsia="Calibri"/>
          <w:bCs/>
          <w:sz w:val="28"/>
          <w:szCs w:val="28"/>
        </w:rPr>
        <w:t xml:space="preserve"> на базе общеобразовательных организаций, так и с выходом в пункты проведения экзамена, с последующим анализом результатов и принятием на основе </w:t>
      </w:r>
      <w:r w:rsidRPr="00C359CC">
        <w:rPr>
          <w:rFonts w:eastAsia="Calibri"/>
          <w:bCs/>
          <w:sz w:val="28"/>
          <w:szCs w:val="28"/>
        </w:rPr>
        <w:lastRenderedPageBreak/>
        <w:t xml:space="preserve">проведенного анализа </w:t>
      </w:r>
      <w:proofErr w:type="gramStart"/>
      <w:r w:rsidRPr="00C359CC">
        <w:rPr>
          <w:rFonts w:eastAsia="Calibri"/>
          <w:bCs/>
          <w:sz w:val="28"/>
          <w:szCs w:val="28"/>
        </w:rPr>
        <w:t>управленческий</w:t>
      </w:r>
      <w:proofErr w:type="gramEnd"/>
      <w:r w:rsidRPr="00C359CC">
        <w:rPr>
          <w:rFonts w:eastAsia="Calibri"/>
          <w:bCs/>
          <w:sz w:val="28"/>
          <w:szCs w:val="28"/>
        </w:rPr>
        <w:t xml:space="preserve"> решений, нацеленных на повышение уровня качества подготовки обучающихся.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C359CC">
        <w:rPr>
          <w:rFonts w:eastAsia="Calibri"/>
          <w:sz w:val="28"/>
          <w:szCs w:val="28"/>
          <w:lang w:bidi="hi-IN"/>
        </w:rPr>
        <w:t xml:space="preserve">По итогам сдачи ЕГЭ в основной период 9 выпускников 11-х классов (МБОУ «СОШ № 2 им. А.И.Исаевой», МБОУ «СОШ № 3 </w:t>
      </w:r>
      <w:proofErr w:type="spellStart"/>
      <w:r w:rsidRPr="00C359CC">
        <w:rPr>
          <w:rFonts w:eastAsia="Calibri"/>
          <w:sz w:val="28"/>
          <w:szCs w:val="28"/>
          <w:lang w:bidi="hi-IN"/>
        </w:rPr>
        <w:t>им.А.А.Ивасенко</w:t>
      </w:r>
      <w:proofErr w:type="spellEnd"/>
      <w:r w:rsidRPr="00C359CC">
        <w:rPr>
          <w:rFonts w:eastAsia="Calibri"/>
          <w:sz w:val="28"/>
          <w:szCs w:val="28"/>
          <w:lang w:bidi="hi-IN"/>
        </w:rPr>
        <w:t>», МБОУ «СОШ № 5 «Многопрофильная», МБОУ «СОШ № 8», МБОУ «СОШ № 10», ЧОУ «</w:t>
      </w:r>
      <w:proofErr w:type="spellStart"/>
      <w:r w:rsidRPr="00C359CC">
        <w:rPr>
          <w:rFonts w:eastAsia="Calibri"/>
          <w:sz w:val="28"/>
          <w:szCs w:val="28"/>
          <w:lang w:bidi="hi-IN"/>
        </w:rPr>
        <w:t>Нефтеюганская</w:t>
      </w:r>
      <w:proofErr w:type="spellEnd"/>
      <w:r w:rsidRPr="00C359CC">
        <w:rPr>
          <w:rFonts w:eastAsia="Calibri"/>
          <w:sz w:val="28"/>
          <w:szCs w:val="28"/>
          <w:lang w:bidi="hi-IN"/>
        </w:rPr>
        <w:t xml:space="preserve"> православная гимназия») получили максимальный результат 100 баллов по учебным предметам «химия», «литература», «русский язык», «физика», «обществознание», из них один учащийся МБОУ «СОШ № 5</w:t>
      </w:r>
      <w:proofErr w:type="gramEnd"/>
      <w:r w:rsidRPr="00C359CC">
        <w:rPr>
          <w:rFonts w:eastAsia="Calibri"/>
          <w:sz w:val="28"/>
          <w:szCs w:val="28"/>
          <w:lang w:bidi="hi-IN"/>
        </w:rPr>
        <w:t xml:space="preserve"> «Многопрофильная» - максимальный результат 200 баллов по учебным предметам «русский язык» и «физика».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проведён м</w:t>
      </w:r>
      <w:r w:rsidRPr="00C359CC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C359CC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C359CC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им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.И</w:t>
      </w:r>
      <w:proofErr w:type="gramEnd"/>
      <w:r w:rsidRPr="00C359CC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(далее – ФГОС НОО </w:t>
      </w:r>
      <w:proofErr w:type="gramStart"/>
      <w:r w:rsidRPr="00C359CC">
        <w:rPr>
          <w:sz w:val="28"/>
          <w:szCs w:val="28"/>
        </w:rPr>
        <w:t>и ООО</w:t>
      </w:r>
      <w:proofErr w:type="gramEnd"/>
      <w:r w:rsidRPr="00C359CC">
        <w:rPr>
          <w:sz w:val="28"/>
          <w:szCs w:val="28"/>
        </w:rPr>
        <w:t xml:space="preserve">). </w:t>
      </w:r>
      <w:proofErr w:type="gramStart"/>
      <w:r w:rsidRPr="00C359CC">
        <w:rPr>
          <w:sz w:val="28"/>
          <w:szCs w:val="28"/>
        </w:rPr>
        <w:t xml:space="preserve">Разработан муниципальный план мероприятий, организованы: региональная апробация примерных рабочих программ НОО и ООО на базе МБОУ «СОШ № 3 им. </w:t>
      </w:r>
      <w:proofErr w:type="spellStart"/>
      <w:r w:rsidRPr="00C359CC">
        <w:rPr>
          <w:sz w:val="28"/>
          <w:szCs w:val="28"/>
        </w:rPr>
        <w:t>А.А.Ивасенко</w:t>
      </w:r>
      <w:proofErr w:type="spellEnd"/>
      <w:r w:rsidRPr="00C359CC">
        <w:rPr>
          <w:sz w:val="28"/>
          <w:szCs w:val="28"/>
        </w:rPr>
        <w:t xml:space="preserve">», повышение квалификации 238 педагогических работников, разрабатывающих и реализующих основные образовательные программы НОО и ООО, представлен опыт успешных практик учителей МБОУ «СОШ №2 </w:t>
      </w:r>
      <w:proofErr w:type="spellStart"/>
      <w:r w:rsidRPr="00C359CC">
        <w:rPr>
          <w:sz w:val="28"/>
          <w:szCs w:val="28"/>
        </w:rPr>
        <w:t>им.А.И.Исаевой</w:t>
      </w:r>
      <w:proofErr w:type="spellEnd"/>
      <w:r w:rsidRPr="00C359CC">
        <w:rPr>
          <w:sz w:val="28"/>
          <w:szCs w:val="28"/>
        </w:rPr>
        <w:t xml:space="preserve">», МБОУ «Начальная школа № 15», МБОУ «СОКШ №4» по разработке рабочих программ. </w:t>
      </w:r>
      <w:proofErr w:type="gramEnd"/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C359CC">
        <w:rPr>
          <w:sz w:val="28"/>
          <w:szCs w:val="28"/>
        </w:rPr>
        <w:t xml:space="preserve">МБОУ «Начальная школа № 15» МБОУ «Школа развития № 24» определены региональными </w:t>
      </w:r>
      <w:proofErr w:type="spellStart"/>
      <w:r w:rsidRPr="00C359CC">
        <w:rPr>
          <w:sz w:val="28"/>
          <w:szCs w:val="28"/>
        </w:rPr>
        <w:t>стажировочными</w:t>
      </w:r>
      <w:proofErr w:type="spellEnd"/>
      <w:r w:rsidRPr="00C359CC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округа. Кроме этого, 19 педагогических работников вошли в состав экспертного сообщества ХМАО - </w:t>
      </w:r>
      <w:proofErr w:type="spellStart"/>
      <w:r w:rsidRPr="00C359CC">
        <w:rPr>
          <w:sz w:val="28"/>
          <w:szCs w:val="28"/>
        </w:rPr>
        <w:t>Югры</w:t>
      </w:r>
      <w:proofErr w:type="spellEnd"/>
      <w:r w:rsidRPr="00C359CC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C359CC">
        <w:rPr>
          <w:sz w:val="28"/>
          <w:szCs w:val="28"/>
        </w:rPr>
        <w:t>тьюторами</w:t>
      </w:r>
      <w:proofErr w:type="spellEnd"/>
      <w:r w:rsidRPr="00C359CC">
        <w:rPr>
          <w:sz w:val="28"/>
          <w:szCs w:val="28"/>
        </w:rPr>
        <w:t xml:space="preserve"> в рамках </w:t>
      </w:r>
      <w:proofErr w:type="gramStart"/>
      <w:r w:rsidRPr="00C359CC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C359CC">
        <w:rPr>
          <w:sz w:val="28"/>
          <w:szCs w:val="28"/>
        </w:rPr>
        <w:t xml:space="preserve"> </w:t>
      </w:r>
      <w:proofErr w:type="spellStart"/>
      <w:r w:rsidRPr="00C359CC">
        <w:rPr>
          <w:sz w:val="28"/>
          <w:szCs w:val="28"/>
        </w:rPr>
        <w:t>ХМАО-Югры</w:t>
      </w:r>
      <w:proofErr w:type="spellEnd"/>
      <w:r w:rsidRPr="00C359CC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lastRenderedPageBreak/>
        <w:t xml:space="preserve">10% учащихся общеобразовательных организаций охвачены программами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.Н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59CC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C359CC">
        <w:rPr>
          <w:bCs/>
          <w:iCs/>
          <w:sz w:val="28"/>
          <w:szCs w:val="28"/>
        </w:rPr>
        <w:t xml:space="preserve"> </w:t>
      </w:r>
      <w:proofErr w:type="gramStart"/>
      <w:r w:rsidRPr="00C359CC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 «Педагог-новатор»  и т.д.).</w:t>
      </w:r>
      <w:proofErr w:type="gramEnd"/>
      <w:r w:rsidRPr="00C359CC">
        <w:rPr>
          <w:bCs/>
          <w:iCs/>
          <w:sz w:val="28"/>
          <w:szCs w:val="28"/>
        </w:rPr>
        <w:t xml:space="preserve"> В 2022 году планируется повышение квалификации не менее 0,68% педагогических работников общеобразовательных организаций в центре непрерывного повышения профессионального мастерства ХМАО –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(исполнение по</w:t>
      </w:r>
      <w:r>
        <w:rPr>
          <w:rFonts w:eastAsia="Calibri"/>
          <w:sz w:val="28"/>
          <w:szCs w:val="28"/>
          <w:lang w:eastAsia="en-US"/>
        </w:rPr>
        <w:t>казателя в настоящее время – 19,75</w:t>
      </w:r>
      <w:r w:rsidRPr="00C359CC">
        <w:rPr>
          <w:rFonts w:eastAsia="Calibri"/>
          <w:sz w:val="28"/>
          <w:szCs w:val="28"/>
          <w:lang w:eastAsia="en-US"/>
        </w:rPr>
        <w:t>%).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>Результат: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rFonts w:eastAsia="Calibri"/>
          <w:sz w:val="28"/>
          <w:szCs w:val="28"/>
          <w:lang w:eastAsia="en-US"/>
        </w:rPr>
        <w:t xml:space="preserve">-3 призёра </w:t>
      </w:r>
      <w:r w:rsidRPr="00C359CC">
        <w:rPr>
          <w:bCs/>
          <w:iCs/>
          <w:sz w:val="28"/>
          <w:szCs w:val="28"/>
        </w:rPr>
        <w:t xml:space="preserve">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C359CC">
        <w:rPr>
          <w:bCs/>
          <w:iCs/>
          <w:sz w:val="28"/>
          <w:szCs w:val="28"/>
        </w:rPr>
        <w:t>Юг</w:t>
      </w:r>
      <w:proofErr w:type="gramEnd"/>
      <w:r w:rsidRPr="00C359CC">
        <w:rPr>
          <w:bCs/>
          <w:iCs/>
          <w:sz w:val="28"/>
          <w:szCs w:val="28"/>
        </w:rPr>
        <w:t>ры</w:t>
      </w:r>
      <w:proofErr w:type="spellEnd"/>
      <w:r w:rsidRPr="00C359CC">
        <w:rPr>
          <w:bCs/>
          <w:iCs/>
          <w:sz w:val="28"/>
          <w:szCs w:val="28"/>
        </w:rPr>
        <w:t xml:space="preserve"> «Педагог года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 - 2022» в номинациях «Сердце отдаю детям», «Педагогический дебют», «От сердца к сердцу»;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>-1 команда - финалист Всероссийского профессионального конкурса педагогических команд «Флагманы образования. Школы» президентской платформы «Россия – страна возможностей» (МБОУ «СОКШ № 4»);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>-3 победителя окружного конкурса на звание лучшего педагога Ханты-</w:t>
      </w:r>
      <w:r w:rsidRPr="00C359CC">
        <w:rPr>
          <w:sz w:val="28"/>
          <w:szCs w:val="28"/>
        </w:rPr>
        <w:lastRenderedPageBreak/>
        <w:t xml:space="preserve">Мансийского автономного округа – </w:t>
      </w:r>
      <w:proofErr w:type="spellStart"/>
      <w:r w:rsidRPr="00C359CC">
        <w:rPr>
          <w:sz w:val="28"/>
          <w:szCs w:val="28"/>
        </w:rPr>
        <w:t>Югры</w:t>
      </w:r>
      <w:proofErr w:type="spellEnd"/>
      <w:r w:rsidRPr="00C359CC">
        <w:rPr>
          <w:sz w:val="28"/>
          <w:szCs w:val="28"/>
        </w:rPr>
        <w:t xml:space="preserve"> в 2022 году;</w:t>
      </w:r>
    </w:p>
    <w:p w:rsidR="002C55A1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 победитель и 4 призера регионального конкурса лучших практик «Педагогический потенциал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>»;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-1 победитель и 3 призёра конкурса педагогических работников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молодого педагога»;</w:t>
      </w:r>
    </w:p>
    <w:p w:rsidR="002C55A1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>-1 победитель Всероссийского конкурса «Сердце отдаю детям» в номинации «Педагог дополнительного образования</w:t>
      </w:r>
      <w:r>
        <w:rPr>
          <w:sz w:val="28"/>
          <w:szCs w:val="28"/>
        </w:rPr>
        <w:t xml:space="preserve"> по технической направленности».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C359CC">
        <w:rPr>
          <w:bCs/>
          <w:iCs/>
          <w:sz w:val="28"/>
          <w:szCs w:val="28"/>
        </w:rPr>
        <w:t>.Н</w:t>
      </w:r>
      <w:proofErr w:type="gramEnd"/>
      <w:r w:rsidRPr="00C359CC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C359CC">
        <w:rPr>
          <w:bCs/>
          <w:iCs/>
          <w:sz w:val="28"/>
          <w:szCs w:val="28"/>
        </w:rPr>
        <w:t>тьюторства</w:t>
      </w:r>
      <w:proofErr w:type="spellEnd"/>
      <w:r w:rsidRPr="00C359CC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C359CC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59CC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87,1%, в городе созданы условия для дополнительного образования детей в сферах образования, культуры, физической культуры и спорта (исполнение показателя в настоящее время – 8</w:t>
      </w:r>
      <w:r>
        <w:rPr>
          <w:rFonts w:eastAsia="Calibri"/>
          <w:sz w:val="28"/>
          <w:szCs w:val="28"/>
          <w:lang w:eastAsia="en-US"/>
        </w:rPr>
        <w:t>7</w:t>
      </w:r>
      <w:r w:rsidRPr="00C359C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2</w:t>
      </w:r>
      <w:r w:rsidRPr="00C359CC">
        <w:rPr>
          <w:rFonts w:eastAsia="Calibri"/>
          <w:sz w:val="28"/>
          <w:szCs w:val="28"/>
          <w:lang w:eastAsia="en-US"/>
        </w:rPr>
        <w:t xml:space="preserve">%, план 2022 г. – 86,9%). </w:t>
      </w:r>
      <w:proofErr w:type="gramEnd"/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19%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На портале персонифицированного дополнительного образования находится 609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>По итогам реализации проекта в 2024 году не менее 45%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359CC">
        <w:rPr>
          <w:rFonts w:eastAsia="Calibri"/>
          <w:sz w:val="28"/>
          <w:szCs w:val="28"/>
          <w:lang w:eastAsia="en-US"/>
        </w:rPr>
        <w:t>» (исполнение пок</w:t>
      </w:r>
      <w:r>
        <w:rPr>
          <w:rFonts w:eastAsia="Calibri"/>
          <w:sz w:val="28"/>
          <w:szCs w:val="28"/>
          <w:lang w:eastAsia="en-US"/>
        </w:rPr>
        <w:t>азателя в настоящее время – 25</w:t>
      </w:r>
      <w:r w:rsidRPr="00C359CC">
        <w:rPr>
          <w:rFonts w:eastAsia="Calibri"/>
          <w:sz w:val="28"/>
          <w:szCs w:val="28"/>
          <w:lang w:eastAsia="en-US"/>
        </w:rPr>
        <w:t xml:space="preserve">%, </w:t>
      </w:r>
      <w:r w:rsidRPr="00C359CC">
        <w:rPr>
          <w:rFonts w:eastAsia="Calibri"/>
          <w:sz w:val="28"/>
          <w:szCs w:val="28"/>
          <w:lang w:eastAsia="en-US"/>
        </w:rPr>
        <w:lastRenderedPageBreak/>
        <w:t xml:space="preserve">план 2022 г. – 35,6%).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К 2024 году 37%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 xml:space="preserve">С этой целью организовано дистанционное участие учащихся общеобразовательных организаций  в открытых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 (исполнение </w:t>
      </w:r>
      <w:r>
        <w:rPr>
          <w:rFonts w:eastAsia="Calibri"/>
          <w:sz w:val="28"/>
          <w:szCs w:val="28"/>
          <w:lang w:eastAsia="en-US"/>
        </w:rPr>
        <w:t>показателя в настоящее время – 20,5</w:t>
      </w:r>
      <w:r w:rsidRPr="00C359CC">
        <w:rPr>
          <w:rFonts w:eastAsia="Calibri"/>
          <w:sz w:val="28"/>
          <w:szCs w:val="28"/>
          <w:lang w:eastAsia="en-US"/>
        </w:rPr>
        <w:t xml:space="preserve">%, план 2022 г. – 30%). </w:t>
      </w:r>
      <w:proofErr w:type="gramEnd"/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C359CC">
        <w:rPr>
          <w:rFonts w:eastAsia="Calibri"/>
          <w:sz w:val="28"/>
          <w:szCs w:val="28"/>
          <w:lang w:eastAsia="en-US"/>
        </w:rPr>
        <w:t>».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Дом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Дом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359CC">
        <w:rPr>
          <w:i/>
          <w:sz w:val="28"/>
          <w:szCs w:val="28"/>
        </w:rPr>
        <w:t>Региональный проект «</w:t>
      </w:r>
      <w:r w:rsidRPr="00C359CC">
        <w:rPr>
          <w:bCs/>
          <w:i/>
          <w:iCs/>
          <w:sz w:val="28"/>
          <w:szCs w:val="28"/>
        </w:rPr>
        <w:t>Поддержка семей, имеющих детей»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C359CC">
        <w:rPr>
          <w:bCs/>
          <w:iCs/>
          <w:sz w:val="28"/>
          <w:szCs w:val="28"/>
        </w:rPr>
        <w:t>лекотеки</w:t>
      </w:r>
      <w:proofErr w:type="spellEnd"/>
      <w:r w:rsidRPr="00C359CC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</w:t>
      </w:r>
      <w:r w:rsidRPr="00C359CC">
        <w:rPr>
          <w:bCs/>
          <w:iCs/>
          <w:sz w:val="28"/>
          <w:szCs w:val="28"/>
        </w:rPr>
        <w:lastRenderedPageBreak/>
        <w:t xml:space="preserve">качества дошкольного образования. 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C359CC">
        <w:rPr>
          <w:bCs/>
          <w:iCs/>
          <w:sz w:val="28"/>
          <w:szCs w:val="28"/>
        </w:rPr>
        <w:t>компетентностного</w:t>
      </w:r>
      <w:proofErr w:type="spellEnd"/>
      <w:r w:rsidRPr="00C359CC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C359CC">
        <w:rPr>
          <w:bCs/>
          <w:iCs/>
          <w:sz w:val="28"/>
          <w:szCs w:val="28"/>
        </w:rPr>
        <w:t>Инклюверсариум</w:t>
      </w:r>
      <w:proofErr w:type="spellEnd"/>
      <w:r w:rsidRPr="00C359CC">
        <w:rPr>
          <w:bCs/>
          <w:iCs/>
          <w:sz w:val="28"/>
          <w:szCs w:val="28"/>
        </w:rPr>
        <w:t>».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359CC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C359CC">
        <w:rPr>
          <w:sz w:val="28"/>
          <w:szCs w:val="28"/>
        </w:rPr>
        <w:t>контента</w:t>
      </w:r>
      <w:proofErr w:type="spellEnd"/>
      <w:r w:rsidRPr="00C359CC">
        <w:rPr>
          <w:sz w:val="28"/>
          <w:szCs w:val="28"/>
        </w:rPr>
        <w:t xml:space="preserve"> для образовательной деятельности.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C359CC">
        <w:rPr>
          <w:bCs/>
          <w:iCs/>
          <w:sz w:val="28"/>
          <w:szCs w:val="28"/>
        </w:rPr>
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</w:t>
      </w:r>
      <w:r w:rsidRPr="00C359CC">
        <w:rPr>
          <w:bCs/>
          <w:iCs/>
          <w:color w:val="000000" w:themeColor="text1"/>
          <w:sz w:val="28"/>
          <w:szCs w:val="28"/>
        </w:rPr>
        <w:t xml:space="preserve">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.</w:t>
      </w:r>
      <w:r w:rsidRPr="00C359CC">
        <w:rPr>
          <w:color w:val="000000" w:themeColor="text1"/>
          <w:sz w:val="28"/>
          <w:szCs w:val="28"/>
        </w:rPr>
        <w:t xml:space="preserve"> 100% общеобразовательных организаций являются участниками </w:t>
      </w:r>
      <w:proofErr w:type="spellStart"/>
      <w:r w:rsidRPr="00C359CC">
        <w:rPr>
          <w:color w:val="000000" w:themeColor="text1"/>
          <w:sz w:val="28"/>
          <w:szCs w:val="28"/>
        </w:rPr>
        <w:t>пилотного</w:t>
      </w:r>
      <w:proofErr w:type="spellEnd"/>
      <w:r w:rsidRPr="00C359CC">
        <w:rPr>
          <w:color w:val="000000" w:themeColor="text1"/>
          <w:sz w:val="28"/>
          <w:szCs w:val="28"/>
        </w:rPr>
        <w:t xml:space="preserve"> </w:t>
      </w:r>
      <w:r w:rsidRPr="00C359CC">
        <w:rPr>
          <w:rStyle w:val="markedcontent"/>
          <w:color w:val="000000" w:themeColor="text1"/>
          <w:sz w:val="28"/>
          <w:szCs w:val="28"/>
        </w:rPr>
        <w:t>проекта «</w:t>
      </w:r>
      <w:proofErr w:type="spellStart"/>
      <w:r w:rsidRPr="00C359CC">
        <w:rPr>
          <w:rStyle w:val="markedcontent"/>
          <w:color w:val="000000" w:themeColor="text1"/>
          <w:sz w:val="28"/>
          <w:szCs w:val="28"/>
        </w:rPr>
        <w:t>Гос</w:t>
      </w:r>
      <w:proofErr w:type="gramStart"/>
      <w:r w:rsidRPr="00C359CC">
        <w:rPr>
          <w:rStyle w:val="markedcontent"/>
          <w:color w:val="000000" w:themeColor="text1"/>
          <w:sz w:val="28"/>
          <w:szCs w:val="28"/>
        </w:rPr>
        <w:t>Web</w:t>
      </w:r>
      <w:proofErr w:type="spellEnd"/>
      <w:proofErr w:type="gramEnd"/>
      <w:r w:rsidRPr="00C359CC">
        <w:rPr>
          <w:rStyle w:val="markedcontent"/>
          <w:color w:val="000000" w:themeColor="text1"/>
          <w:sz w:val="28"/>
          <w:szCs w:val="28"/>
        </w:rPr>
        <w:t>»</w:t>
      </w:r>
      <w:r w:rsidRPr="00C359CC">
        <w:rPr>
          <w:color w:val="000000" w:themeColor="text1"/>
          <w:sz w:val="28"/>
          <w:szCs w:val="28"/>
        </w:rPr>
        <w:t xml:space="preserve"> (</w:t>
      </w:r>
      <w:r w:rsidRPr="00C359CC">
        <w:rPr>
          <w:rStyle w:val="markedcontent"/>
          <w:color w:val="000000" w:themeColor="text1"/>
          <w:sz w:val="28"/>
          <w:szCs w:val="28"/>
        </w:rPr>
        <w:t>опытно-промышленная эксплуатация конструктора сайтов на базе единого</w:t>
      </w:r>
      <w:r w:rsidRPr="00C359CC">
        <w:rPr>
          <w:color w:val="000000" w:themeColor="text1"/>
          <w:sz w:val="28"/>
          <w:szCs w:val="28"/>
        </w:rPr>
        <w:t xml:space="preserve"> </w:t>
      </w:r>
      <w:r w:rsidRPr="00C359CC">
        <w:rPr>
          <w:rStyle w:val="markedcontent"/>
          <w:color w:val="000000" w:themeColor="text1"/>
          <w:sz w:val="28"/>
          <w:szCs w:val="28"/>
        </w:rPr>
        <w:t>портала государственных и муниципальных услуг).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)» внедрена в 100% образовательных организаций. В 2021-2022 учебном году в системе ЦОП «ГИС Образование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» запущены два новых модуля «Личный кабинет родителя», где родители (законные представители) могут принимать участие в образовательном процессе своего ребёнка и «Школьное питание», которое обеспечивает автоматизацию всех процессов организации питания, а также четырёхступенчатую систему контроля качества питания. Ведется разработка модуля «Безопасность», внедрение которого позволит обеспечить комплексный анализ всех входных групп образовательных организаций.</w:t>
      </w:r>
    </w:p>
    <w:p w:rsidR="002C55A1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C359CC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 от 05.07.2019 № 356-рп 13 общеобразовательных </w:t>
      </w:r>
      <w:r w:rsidRPr="00C359CC">
        <w:rPr>
          <w:bCs/>
          <w:iCs/>
          <w:color w:val="000000" w:themeColor="text1"/>
          <w:sz w:val="28"/>
          <w:szCs w:val="28"/>
        </w:rPr>
        <w:lastRenderedPageBreak/>
        <w:t xml:space="preserve">организаций (86,66%) включены в реализацию региональной составляющей федерального проекта «Цифровая образовательная среда», в которых выполнена поставка оборудования, приобретенного за счет средств федерального бюджета для внедрения целевой модели цифровой образовательной среды (в МБОУ «СОШ № 3 им.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», МБОУ «СОШ № 6» поставка оборудования планируется в 2024</w:t>
      </w:r>
      <w:proofErr w:type="gramEnd"/>
      <w:r w:rsidRPr="00C359CC">
        <w:rPr>
          <w:bCs/>
          <w:iCs/>
          <w:color w:val="000000" w:themeColor="text1"/>
          <w:sz w:val="28"/>
          <w:szCs w:val="28"/>
        </w:rPr>
        <w:t xml:space="preserve"> году).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C359CC">
          <w:rPr>
            <w:bCs/>
            <w:iCs/>
            <w:color w:val="000000" w:themeColor="text1"/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C359CC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C359CC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C359CC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», МБОУ «СОШ №10», МБОУ «СОШ       № 13». В МБОУ «СОШ № 13» организована деятельность 100-ого филиала Президентской библиотеки.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C359CC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</w:r>
      <w:proofErr w:type="spellStart"/>
      <w:r w:rsidRPr="00C359CC">
        <w:rPr>
          <w:color w:val="000000" w:themeColor="text1"/>
          <w:sz w:val="28"/>
          <w:szCs w:val="28"/>
        </w:rPr>
        <w:t>ХМАО-Югры</w:t>
      </w:r>
      <w:proofErr w:type="spellEnd"/>
      <w:r w:rsidRPr="00C359CC">
        <w:rPr>
          <w:color w:val="000000" w:themeColor="text1"/>
          <w:sz w:val="28"/>
          <w:szCs w:val="28"/>
        </w:rPr>
        <w:t>», «</w:t>
      </w:r>
      <w:proofErr w:type="spellStart"/>
      <w:r w:rsidRPr="00C359CC">
        <w:rPr>
          <w:color w:val="000000" w:themeColor="text1"/>
          <w:sz w:val="28"/>
          <w:szCs w:val="28"/>
        </w:rPr>
        <w:t>Учи</w:t>
      </w:r>
      <w:proofErr w:type="gramStart"/>
      <w:r w:rsidRPr="00C359CC">
        <w:rPr>
          <w:color w:val="000000" w:themeColor="text1"/>
          <w:sz w:val="28"/>
          <w:szCs w:val="28"/>
        </w:rPr>
        <w:t>.Р</w:t>
      </w:r>
      <w:proofErr w:type="gramEnd"/>
      <w:r w:rsidRPr="00C359CC">
        <w:rPr>
          <w:color w:val="000000" w:themeColor="text1"/>
          <w:sz w:val="28"/>
          <w:szCs w:val="28"/>
        </w:rPr>
        <w:t>у</w:t>
      </w:r>
      <w:proofErr w:type="spellEnd"/>
      <w:r w:rsidRPr="00C359CC">
        <w:rPr>
          <w:color w:val="000000" w:themeColor="text1"/>
          <w:sz w:val="28"/>
          <w:szCs w:val="28"/>
        </w:rPr>
        <w:t>», «</w:t>
      </w:r>
      <w:proofErr w:type="spellStart"/>
      <w:r w:rsidRPr="00C359CC">
        <w:rPr>
          <w:color w:val="000000" w:themeColor="text1"/>
          <w:sz w:val="28"/>
          <w:szCs w:val="28"/>
        </w:rPr>
        <w:t>ЯКласс</w:t>
      </w:r>
      <w:proofErr w:type="spellEnd"/>
      <w:r w:rsidRPr="00C359CC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2C55A1" w:rsidRPr="00A87EC0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color w:val="000000" w:themeColor="text1"/>
          <w:sz w:val="28"/>
          <w:szCs w:val="28"/>
        </w:rPr>
        <w:t xml:space="preserve">3 общеобразовательных организации участвуют в реализации </w:t>
      </w:r>
      <w:proofErr w:type="spellStart"/>
      <w:r w:rsidRPr="00C359CC">
        <w:rPr>
          <w:color w:val="000000" w:themeColor="text1"/>
          <w:sz w:val="28"/>
          <w:szCs w:val="28"/>
        </w:rPr>
        <w:t>пилотного</w:t>
      </w:r>
      <w:proofErr w:type="spellEnd"/>
      <w:r w:rsidRPr="00C359CC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</w:t>
      </w:r>
      <w:r>
        <w:rPr>
          <w:color w:val="000000" w:themeColor="text1"/>
          <w:sz w:val="28"/>
          <w:szCs w:val="28"/>
        </w:rPr>
        <w:t>,</w:t>
      </w:r>
      <w:r w:rsidRPr="001F4850">
        <w:rPr>
          <w:sz w:val="28"/>
          <w:szCs w:val="28"/>
        </w:rPr>
        <w:t xml:space="preserve"> </w:t>
      </w:r>
      <w:r w:rsidRPr="00A87EC0">
        <w:rPr>
          <w:sz w:val="28"/>
          <w:szCs w:val="28"/>
        </w:rPr>
        <w:t>15 муниципальных общеобразовательных организаций (100%) подключены к федеральной государственной информационной системе «Моя школа», в которой предоставлен единый доступ к образовательным сервисам и цифровым учебным материалам для учащихся, их родителей (законных представителей) и педагогических работников.</w:t>
      </w:r>
    </w:p>
    <w:p w:rsidR="002C55A1" w:rsidRPr="00C359CC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67223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 xml:space="preserve"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добровольческого движения города </w:t>
      </w:r>
      <w:r w:rsidRPr="00267223">
        <w:rPr>
          <w:rFonts w:eastAsia="Calibri"/>
          <w:sz w:val="28"/>
          <w:szCs w:val="28"/>
          <w:lang w:eastAsia="en-US"/>
        </w:rPr>
        <w:t xml:space="preserve">(исполнение показателя в настоящее время – 14 830 чел., план 2022 г. – 16 900 чел.). </w:t>
      </w:r>
      <w:r w:rsidRPr="00267223">
        <w:rPr>
          <w:bCs/>
          <w:iCs/>
          <w:sz w:val="28"/>
          <w:szCs w:val="28"/>
        </w:rPr>
        <w:t xml:space="preserve">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>На территории г</w:t>
      </w:r>
      <w:proofErr w:type="gramStart"/>
      <w:r w:rsidRPr="00267223">
        <w:rPr>
          <w:bCs/>
          <w:iCs/>
          <w:sz w:val="28"/>
          <w:szCs w:val="28"/>
        </w:rPr>
        <w:t>.Н</w:t>
      </w:r>
      <w:proofErr w:type="gramEnd"/>
      <w:r w:rsidRPr="00267223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«МЫ ВМЕСТЕ» по взаимодействию с добровольцами (волонтерами) готовыми к участию в профилактических мероприятиях и мерах по оказанию помощи гражданам, </w:t>
      </w:r>
      <w:r w:rsidRPr="00267223">
        <w:rPr>
          <w:bCs/>
          <w:iCs/>
          <w:sz w:val="28"/>
          <w:szCs w:val="28"/>
        </w:rPr>
        <w:lastRenderedPageBreak/>
        <w:t xml:space="preserve">находящимся в зоне риска (пожилые граждане старше </w:t>
      </w:r>
      <w:proofErr w:type="gramStart"/>
      <w:r w:rsidRPr="00267223">
        <w:rPr>
          <w:bCs/>
          <w:iCs/>
          <w:sz w:val="28"/>
          <w:szCs w:val="28"/>
        </w:rPr>
        <w:t>65 лет), а также семьям мобилизованных военнослужащих.</w:t>
      </w:r>
      <w:proofErr w:type="gramEnd"/>
      <w:r w:rsidRPr="00267223">
        <w:rPr>
          <w:bCs/>
          <w:iCs/>
          <w:sz w:val="28"/>
          <w:szCs w:val="28"/>
        </w:rPr>
        <w:t xml:space="preserve"> Осуществляется взаимодействие с АНО «Ресурсный добровольческий центр «Сердце </w:t>
      </w:r>
      <w:proofErr w:type="spellStart"/>
      <w:r w:rsidRPr="00267223">
        <w:rPr>
          <w:bCs/>
          <w:iCs/>
          <w:sz w:val="28"/>
          <w:szCs w:val="28"/>
        </w:rPr>
        <w:t>Югры</w:t>
      </w:r>
      <w:proofErr w:type="spellEnd"/>
      <w:r w:rsidRPr="00267223">
        <w:rPr>
          <w:bCs/>
          <w:iCs/>
          <w:sz w:val="28"/>
          <w:szCs w:val="28"/>
        </w:rPr>
        <w:t xml:space="preserve">».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 xml:space="preserve"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«Подари тепло защитнику Отечества», в том числе мероприятий, направленных на профилактику негативных явлений в молодёжной среде.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 xml:space="preserve">Планируется участие не менее 13 000 человек молодёжи в мероприятиях и форумах различного уровня (фестиваль молодежных инициатив «Нефтеюганск молодой!», фестиваль молодых семей «Мир в котором я живу», молодежный </w:t>
      </w:r>
      <w:proofErr w:type="spellStart"/>
      <w:r w:rsidRPr="00267223">
        <w:rPr>
          <w:bCs/>
          <w:iCs/>
          <w:sz w:val="28"/>
          <w:szCs w:val="28"/>
        </w:rPr>
        <w:t>медиа-форум</w:t>
      </w:r>
      <w:proofErr w:type="spellEnd"/>
      <w:r w:rsidRPr="00267223">
        <w:rPr>
          <w:bCs/>
          <w:iCs/>
          <w:sz w:val="28"/>
          <w:szCs w:val="28"/>
        </w:rPr>
        <w:t xml:space="preserve"> для школьников «Отклик», форум «Наши Победы» и др.), в том числе фестивале работающей молодежи «Стимул».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267223">
        <w:rPr>
          <w:sz w:val="28"/>
          <w:szCs w:val="28"/>
        </w:rPr>
        <w:t xml:space="preserve"> </w:t>
      </w:r>
      <w:r w:rsidRPr="00267223">
        <w:rPr>
          <w:bCs/>
          <w:iCs/>
          <w:sz w:val="28"/>
          <w:szCs w:val="28"/>
        </w:rPr>
        <w:t>Состоялся фестиваль молодых семей «</w:t>
      </w:r>
      <w:proofErr w:type="gramStart"/>
      <w:r w:rsidRPr="00267223">
        <w:rPr>
          <w:bCs/>
          <w:iCs/>
          <w:sz w:val="28"/>
          <w:szCs w:val="28"/>
        </w:rPr>
        <w:t>Мир</w:t>
      </w:r>
      <w:proofErr w:type="gramEnd"/>
      <w:r w:rsidRPr="00267223">
        <w:rPr>
          <w:bCs/>
          <w:iCs/>
          <w:sz w:val="28"/>
          <w:szCs w:val="28"/>
        </w:rPr>
        <w:t xml:space="preserve"> в котором мы живем». </w:t>
      </w:r>
      <w:r w:rsidRPr="00267223">
        <w:rPr>
          <w:sz w:val="28"/>
          <w:szCs w:val="28"/>
        </w:rPr>
        <w:t>Р</w:t>
      </w:r>
      <w:r w:rsidRPr="00267223">
        <w:rPr>
          <w:bCs/>
          <w:iCs/>
          <w:sz w:val="28"/>
          <w:szCs w:val="28"/>
        </w:rPr>
        <w:t xml:space="preserve">еализуется план основных мероприятий в рамках проведения «Десятилетия детства».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67223">
        <w:rPr>
          <w:bCs/>
          <w:iCs/>
          <w:sz w:val="28"/>
          <w:szCs w:val="28"/>
        </w:rPr>
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</w:r>
      <w:r w:rsidRPr="00267223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 г., 2019 г., 2020 г., 2021 г.) и подтверждает эти результаты на всероссийском уровне.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67223">
        <w:rPr>
          <w:rFonts w:eastAsia="Calibri"/>
          <w:color w:val="000000" w:themeColor="text1"/>
          <w:sz w:val="28"/>
          <w:szCs w:val="28"/>
        </w:rPr>
        <w:t xml:space="preserve">Не менее 3100 </w:t>
      </w:r>
      <w:r w:rsidRPr="00267223">
        <w:rPr>
          <w:bCs/>
          <w:iCs/>
          <w:sz w:val="28"/>
          <w:szCs w:val="28"/>
        </w:rPr>
        <w:t xml:space="preserve">учащихся </w:t>
      </w:r>
      <w:proofErr w:type="gramStart"/>
      <w:r w:rsidRPr="00267223">
        <w:rPr>
          <w:bCs/>
          <w:iCs/>
          <w:sz w:val="28"/>
          <w:szCs w:val="28"/>
        </w:rPr>
        <w:t>вовлечены</w:t>
      </w:r>
      <w:proofErr w:type="gramEnd"/>
      <w:r w:rsidRPr="00267223">
        <w:rPr>
          <w:bCs/>
          <w:iCs/>
          <w:sz w:val="28"/>
          <w:szCs w:val="28"/>
        </w:rPr>
        <w:t xml:space="preserve"> 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67223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67223">
        <w:rPr>
          <w:bCs/>
          <w:iCs/>
          <w:sz w:val="28"/>
          <w:szCs w:val="28"/>
        </w:rPr>
        <w:t>межпоколенческого</w:t>
      </w:r>
      <w:proofErr w:type="spellEnd"/>
      <w:r w:rsidRPr="00267223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67223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67223">
        <w:rPr>
          <w:bCs/>
          <w:iCs/>
          <w:sz w:val="28"/>
          <w:szCs w:val="28"/>
        </w:rPr>
        <w:t>Юнармия</w:t>
      </w:r>
      <w:proofErr w:type="spellEnd"/>
      <w:r w:rsidRPr="00267223">
        <w:rPr>
          <w:bCs/>
          <w:iCs/>
          <w:sz w:val="28"/>
          <w:szCs w:val="28"/>
        </w:rPr>
        <w:t>» на базе МБУ ДО «ДДТ»</w:t>
      </w:r>
      <w:r w:rsidRPr="00267223">
        <w:rPr>
          <w:color w:val="000000" w:themeColor="text1"/>
          <w:sz w:val="28"/>
          <w:szCs w:val="28"/>
        </w:rPr>
        <w:t xml:space="preserve">, в которое принято 727 человек детей и молодежи. </w:t>
      </w:r>
      <w:r w:rsidRPr="00267223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</w:t>
      </w:r>
      <w:r w:rsidRPr="00267223">
        <w:rPr>
          <w:bCs/>
          <w:iCs/>
          <w:sz w:val="28"/>
          <w:szCs w:val="28"/>
        </w:rPr>
        <w:lastRenderedPageBreak/>
        <w:t xml:space="preserve">воспитания обучающихся.  </w:t>
      </w:r>
    </w:p>
    <w:p w:rsidR="002C55A1" w:rsidRPr="00267223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67223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2C55A1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i/>
          <w:sz w:val="28"/>
          <w:szCs w:val="28"/>
        </w:rPr>
      </w:pPr>
      <w:proofErr w:type="gramStart"/>
      <w:r w:rsidRPr="00267223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67223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 </w:t>
      </w:r>
      <w:r w:rsidRPr="00267223">
        <w:rPr>
          <w:bCs/>
          <w:iCs/>
          <w:sz w:val="28"/>
          <w:szCs w:val="28"/>
        </w:rPr>
        <w:t xml:space="preserve">«Без срока давности»; акция «Блокадный хлеб»; </w:t>
      </w:r>
      <w:proofErr w:type="spellStart"/>
      <w:r w:rsidRPr="00267223">
        <w:rPr>
          <w:bCs/>
          <w:iCs/>
          <w:sz w:val="28"/>
          <w:szCs w:val="28"/>
        </w:rPr>
        <w:t>квест</w:t>
      </w:r>
      <w:proofErr w:type="spellEnd"/>
      <w:r w:rsidRPr="00267223">
        <w:rPr>
          <w:bCs/>
          <w:iCs/>
          <w:sz w:val="28"/>
          <w:szCs w:val="28"/>
        </w:rPr>
        <w:t xml:space="preserve"> «Сталинградская битва»;</w:t>
      </w:r>
      <w:r w:rsidRPr="00267223">
        <w:rPr>
          <w:sz w:val="28"/>
          <w:szCs w:val="28"/>
        </w:rPr>
        <w:t xml:space="preserve"> </w:t>
      </w:r>
      <w:r w:rsidRPr="00267223">
        <w:rPr>
          <w:bCs/>
          <w:iCs/>
          <w:sz w:val="28"/>
          <w:szCs w:val="28"/>
        </w:rPr>
        <w:t>акции «Посылка солдату»; «Бессмертный полк», «Свеча памяти», «Мы граждане России», «Знай свою страну», «Письма солдату» и др.</w:t>
      </w:r>
      <w:r w:rsidRPr="00C359CC">
        <w:rPr>
          <w:bCs/>
          <w:iCs/>
          <w:sz w:val="28"/>
          <w:szCs w:val="28"/>
        </w:rPr>
        <w:t xml:space="preserve"> </w:t>
      </w:r>
      <w:proofErr w:type="gramEnd"/>
    </w:p>
    <w:p w:rsidR="005320BE" w:rsidRDefault="005320BE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  <w:sectPr w:rsidR="002C55A1" w:rsidSect="00F61DB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55A1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2C55A1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период января-ноября 2022 года обеспечено исполнение показателей: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925"/>
        <w:gridCol w:w="1560"/>
        <w:gridCol w:w="1701"/>
        <w:gridCol w:w="5811"/>
      </w:tblGrid>
      <w:tr w:rsidR="002C55A1" w:rsidRPr="002832CB" w:rsidTr="002C55A1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832CB">
              <w:rPr>
                <w:bCs/>
                <w:color w:val="000000"/>
              </w:rPr>
              <w:t>п</w:t>
            </w:r>
            <w:proofErr w:type="spellEnd"/>
            <w:proofErr w:type="gramEnd"/>
            <w:r w:rsidRPr="002832CB">
              <w:rPr>
                <w:bCs/>
                <w:color w:val="000000"/>
              </w:rPr>
              <w:t>/</w:t>
            </w:r>
            <w:proofErr w:type="spellStart"/>
            <w:r w:rsidRPr="002832CB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 xml:space="preserve">Значение показателя </w:t>
            </w:r>
          </w:p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>на 2022 год</w:t>
            </w:r>
          </w:p>
        </w:tc>
        <w:tc>
          <w:tcPr>
            <w:tcW w:w="5811" w:type="dxa"/>
            <w:vMerge w:val="restart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>Примечание</w:t>
            </w:r>
          </w:p>
        </w:tc>
      </w:tr>
      <w:tr w:rsidR="002C55A1" w:rsidRPr="002832CB" w:rsidTr="002C55A1">
        <w:trPr>
          <w:trHeight w:val="420"/>
        </w:trPr>
        <w:tc>
          <w:tcPr>
            <w:tcW w:w="760" w:type="dxa"/>
            <w:vMerge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>план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>факт</w:t>
            </w:r>
          </w:p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  <w:r w:rsidRPr="002832CB">
              <w:rPr>
                <w:bCs/>
                <w:color w:val="000000"/>
              </w:rPr>
              <w:t>январь-</w:t>
            </w:r>
            <w:r>
              <w:rPr>
                <w:bCs/>
                <w:color w:val="000000"/>
              </w:rPr>
              <w:t>но</w:t>
            </w:r>
            <w:r w:rsidRPr="002832CB">
              <w:rPr>
                <w:bCs/>
                <w:color w:val="000000"/>
              </w:rPr>
              <w:t>ябрь</w:t>
            </w:r>
          </w:p>
        </w:tc>
        <w:tc>
          <w:tcPr>
            <w:tcW w:w="5811" w:type="dxa"/>
            <w:vMerge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2C55A1" w:rsidRPr="002832CB" w:rsidTr="002C55A1">
        <w:trPr>
          <w:trHeight w:val="239"/>
        </w:trPr>
        <w:tc>
          <w:tcPr>
            <w:tcW w:w="760" w:type="dxa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2832CB">
              <w:rPr>
                <w:bCs/>
                <w:i/>
                <w:color w:val="000000"/>
              </w:rPr>
              <w:t>1.</w:t>
            </w:r>
          </w:p>
        </w:tc>
        <w:tc>
          <w:tcPr>
            <w:tcW w:w="13997" w:type="dxa"/>
            <w:gridSpan w:val="4"/>
            <w:hideMark/>
          </w:tcPr>
          <w:p w:rsidR="002C55A1" w:rsidRPr="002832CB" w:rsidRDefault="002C55A1" w:rsidP="002C1E95">
            <w:pPr>
              <w:widowControl w:val="0"/>
              <w:rPr>
                <w:bCs/>
                <w:i/>
                <w:color w:val="000000"/>
              </w:rPr>
            </w:pPr>
            <w:r w:rsidRPr="002832CB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2C55A1" w:rsidRPr="002832CB" w:rsidTr="002C55A1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1.1.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0,68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19,75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-</w:t>
            </w:r>
          </w:p>
        </w:tc>
      </w:tr>
      <w:tr w:rsidR="002C55A1" w:rsidRPr="002832CB" w:rsidTr="002C55A1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1.2.</w:t>
            </w:r>
          </w:p>
        </w:tc>
        <w:tc>
          <w:tcPr>
            <w:tcW w:w="4925" w:type="dxa"/>
            <w:shd w:val="clear" w:color="000000" w:fill="FFFFFF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2832CB">
              <w:t>Кванториум</w:t>
            </w:r>
            <w:proofErr w:type="spellEnd"/>
            <w:r w:rsidRPr="002832CB">
              <w:t>» и центров «</w:t>
            </w:r>
            <w:proofErr w:type="spellStart"/>
            <w:proofErr w:type="gramStart"/>
            <w:r w:rsidRPr="002832CB">
              <w:t>I</w:t>
            </w:r>
            <w:proofErr w:type="gramEnd"/>
            <w:r w:rsidRPr="002832CB">
              <w:t>Т-куб</w:t>
            </w:r>
            <w:proofErr w:type="spellEnd"/>
            <w:r w:rsidRPr="002832CB">
              <w:t>», процент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35,6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>
              <w:t>30,2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C55A1" w:rsidRPr="002832CB" w:rsidTr="002C55A1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1.3.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proofErr w:type="gramStart"/>
            <w:r w:rsidRPr="002832CB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>
              <w:t>25</w:t>
            </w:r>
            <w:r w:rsidRPr="002832CB">
              <w:t>,5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C55A1" w:rsidRPr="002832CB" w:rsidTr="002C55A1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1.4.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-</w:t>
            </w:r>
          </w:p>
        </w:tc>
      </w:tr>
      <w:tr w:rsidR="002C55A1" w:rsidRPr="002832CB" w:rsidTr="002C55A1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lastRenderedPageBreak/>
              <w:t>1.5.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86,9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87,2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-</w:t>
            </w:r>
          </w:p>
        </w:tc>
      </w:tr>
      <w:tr w:rsidR="002C55A1" w:rsidRPr="002832CB" w:rsidTr="002C55A1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1.6.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86,66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86,66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-</w:t>
            </w:r>
          </w:p>
        </w:tc>
      </w:tr>
      <w:tr w:rsidR="002C55A1" w:rsidRPr="002832CB" w:rsidTr="002C55A1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1.7.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proofErr w:type="gramStart"/>
            <w:r w:rsidRPr="002832CB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 xml:space="preserve">В настоящий момент осуществляется информирование и подключение </w:t>
            </w:r>
            <w:proofErr w:type="gramStart"/>
            <w:r w:rsidRPr="002832CB">
              <w:rPr>
                <w:color w:val="000000"/>
              </w:rPr>
              <w:t>обучающихся</w:t>
            </w:r>
            <w:proofErr w:type="gramEnd"/>
            <w:r w:rsidRPr="002832CB">
              <w:rPr>
                <w:color w:val="000000"/>
              </w:rPr>
              <w:t xml:space="preserve"> к федеральной государственной информационной системе «Моя школа».</w:t>
            </w:r>
          </w:p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C55A1" w:rsidRPr="002832CB" w:rsidTr="002C55A1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1.8.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 xml:space="preserve">В настоящий момент осуществляется методическое обучение педагогических работников образовательных организаций по работе в федеральной государственной информационной системе «Моя школа». По итогам 2022 года показатель будет исполнен в полном объёме </w:t>
            </w:r>
          </w:p>
        </w:tc>
      </w:tr>
      <w:tr w:rsidR="002C55A1" w:rsidRPr="002832CB" w:rsidTr="002C55A1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1.9.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r w:rsidRPr="002832CB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100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-</w:t>
            </w:r>
          </w:p>
        </w:tc>
      </w:tr>
      <w:tr w:rsidR="002C55A1" w:rsidRPr="002832CB" w:rsidTr="002C55A1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1.10.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</w:pPr>
            <w:proofErr w:type="gramStart"/>
            <w:r w:rsidRPr="002832CB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2832CB">
              <w:t>волонтерства</w:t>
            </w:r>
            <w:proofErr w:type="spellEnd"/>
            <w:r w:rsidRPr="002832CB"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млн. человек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0,0169</w:t>
            </w:r>
          </w:p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(16 900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0,0148</w:t>
            </w:r>
          </w:p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(14 830 человек)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C55A1" w:rsidRPr="002832CB" w:rsidTr="002C55A1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lastRenderedPageBreak/>
              <w:t>1.11.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autoSpaceDE w:val="0"/>
              <w:autoSpaceDN w:val="0"/>
              <w:adjustRightInd w:val="0"/>
              <w:jc w:val="both"/>
            </w:pPr>
            <w:r w:rsidRPr="002832CB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5,4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100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-</w:t>
            </w:r>
          </w:p>
        </w:tc>
      </w:tr>
      <w:tr w:rsidR="002C55A1" w:rsidRPr="002832CB" w:rsidTr="002C55A1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1.12.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autoSpaceDE w:val="0"/>
              <w:autoSpaceDN w:val="0"/>
              <w:adjustRightInd w:val="0"/>
              <w:jc w:val="both"/>
            </w:pPr>
            <w:r w:rsidRPr="002832CB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 xml:space="preserve">7,748 </w:t>
            </w:r>
          </w:p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(7 748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>
              <w:t>6</w:t>
            </w:r>
            <w:r w:rsidRPr="002832CB">
              <w:t>,0</w:t>
            </w:r>
          </w:p>
          <w:p w:rsidR="002C55A1" w:rsidRPr="002832CB" w:rsidRDefault="002C55A1" w:rsidP="002C1E95">
            <w:pPr>
              <w:widowControl w:val="0"/>
              <w:jc w:val="center"/>
            </w:pPr>
            <w:proofErr w:type="gramStart"/>
            <w:r w:rsidRPr="002832CB">
              <w:t>(</w:t>
            </w:r>
            <w:r>
              <w:t>6</w:t>
            </w:r>
            <w:r w:rsidRPr="002832CB">
              <w:t xml:space="preserve"> 000 </w:t>
            </w:r>
            <w:proofErr w:type="gramEnd"/>
          </w:p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 xml:space="preserve">человек) 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C55A1" w:rsidRPr="002832CB" w:rsidTr="002C55A1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  <w:rPr>
                <w:color w:val="000000"/>
              </w:rPr>
            </w:pPr>
            <w:r w:rsidRPr="002832CB">
              <w:rPr>
                <w:color w:val="000000"/>
              </w:rPr>
              <w:t>1.13.</w:t>
            </w:r>
          </w:p>
        </w:tc>
        <w:tc>
          <w:tcPr>
            <w:tcW w:w="4925" w:type="dxa"/>
            <w:shd w:val="clear" w:color="auto" w:fill="auto"/>
            <w:hideMark/>
          </w:tcPr>
          <w:p w:rsidR="002C55A1" w:rsidRPr="002832CB" w:rsidRDefault="002C55A1" w:rsidP="002C1E95">
            <w:pPr>
              <w:autoSpaceDE w:val="0"/>
              <w:autoSpaceDN w:val="0"/>
              <w:adjustRightInd w:val="0"/>
              <w:jc w:val="both"/>
            </w:pPr>
            <w:r w:rsidRPr="002832CB">
              <w:t xml:space="preserve">Создание условий для развития системы </w:t>
            </w:r>
            <w:proofErr w:type="spellStart"/>
            <w:r w:rsidRPr="002832CB">
              <w:t>межпоколенческого</w:t>
            </w:r>
            <w:proofErr w:type="spellEnd"/>
            <w:r w:rsidRPr="002832CB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0,454</w:t>
            </w:r>
          </w:p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(454 человека)</w:t>
            </w:r>
          </w:p>
        </w:tc>
        <w:tc>
          <w:tcPr>
            <w:tcW w:w="170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0,3</w:t>
            </w:r>
            <w:r>
              <w:t>7</w:t>
            </w:r>
          </w:p>
          <w:p w:rsidR="002C55A1" w:rsidRPr="002832CB" w:rsidRDefault="002C55A1" w:rsidP="002C1E95">
            <w:pPr>
              <w:widowControl w:val="0"/>
              <w:jc w:val="center"/>
            </w:pPr>
            <w:proofErr w:type="gramStart"/>
            <w:r w:rsidRPr="002832CB">
              <w:t>(3</w:t>
            </w:r>
            <w:r>
              <w:t>7</w:t>
            </w:r>
            <w:r w:rsidRPr="002832CB">
              <w:t xml:space="preserve">0 </w:t>
            </w:r>
            <w:proofErr w:type="gramEnd"/>
          </w:p>
          <w:p w:rsidR="002C55A1" w:rsidRPr="002832CB" w:rsidRDefault="002C55A1" w:rsidP="002C1E95">
            <w:pPr>
              <w:widowControl w:val="0"/>
              <w:jc w:val="center"/>
            </w:pPr>
            <w:r w:rsidRPr="002832CB">
              <w:t>человек)</w:t>
            </w:r>
          </w:p>
        </w:tc>
        <w:tc>
          <w:tcPr>
            <w:tcW w:w="5811" w:type="dxa"/>
            <w:shd w:val="clear" w:color="auto" w:fill="auto"/>
            <w:hideMark/>
          </w:tcPr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C55A1" w:rsidRPr="002832CB" w:rsidRDefault="002C55A1" w:rsidP="002C1E95">
            <w:pPr>
              <w:widowControl w:val="0"/>
              <w:jc w:val="both"/>
              <w:rPr>
                <w:color w:val="000000"/>
              </w:rPr>
            </w:pPr>
            <w:r w:rsidRPr="002832CB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</w:tbl>
    <w:p w:rsidR="002C55A1" w:rsidRPr="006D7181" w:rsidRDefault="002C55A1" w:rsidP="002C55A1">
      <w:pPr>
        <w:widowControl w:val="0"/>
        <w:ind w:firstLine="709"/>
        <w:jc w:val="both"/>
        <w:rPr>
          <w:bCs/>
          <w:iCs/>
          <w:sz w:val="28"/>
          <w:szCs w:val="28"/>
        </w:rPr>
      </w:pPr>
    </w:p>
    <w:p w:rsidR="002C55A1" w:rsidRPr="00EA3FA6" w:rsidRDefault="002C55A1" w:rsidP="002C55A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2C55A1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C55A1" w:rsidRPr="00C359CC" w:rsidRDefault="002C55A1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2C55A1" w:rsidRPr="00C359CC" w:rsidSect="002C55A1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D2" w:rsidRDefault="00E000D2">
      <w:r>
        <w:separator/>
      </w:r>
    </w:p>
  </w:endnote>
  <w:endnote w:type="continuationSeparator" w:id="0">
    <w:p w:rsidR="00E000D2" w:rsidRDefault="00E00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D2" w:rsidRDefault="00E000D2">
      <w:r>
        <w:separator/>
      </w:r>
    </w:p>
  </w:footnote>
  <w:footnote w:type="continuationSeparator" w:id="0">
    <w:p w:rsidR="00E000D2" w:rsidRDefault="00E00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46C8"/>
    <w:rsid w:val="00026E08"/>
    <w:rsid w:val="000278C8"/>
    <w:rsid w:val="00030A6B"/>
    <w:rsid w:val="00031F97"/>
    <w:rsid w:val="00032DA1"/>
    <w:rsid w:val="00043DFD"/>
    <w:rsid w:val="00044F0B"/>
    <w:rsid w:val="000468B8"/>
    <w:rsid w:val="0004793E"/>
    <w:rsid w:val="00061FF1"/>
    <w:rsid w:val="00062BDD"/>
    <w:rsid w:val="000713F1"/>
    <w:rsid w:val="000738EF"/>
    <w:rsid w:val="000764E6"/>
    <w:rsid w:val="0008136C"/>
    <w:rsid w:val="0008139B"/>
    <w:rsid w:val="00087565"/>
    <w:rsid w:val="0009035E"/>
    <w:rsid w:val="000B0C30"/>
    <w:rsid w:val="000B3088"/>
    <w:rsid w:val="000B58D9"/>
    <w:rsid w:val="000B7E49"/>
    <w:rsid w:val="000C3C30"/>
    <w:rsid w:val="000C4B3D"/>
    <w:rsid w:val="000C60BF"/>
    <w:rsid w:val="000C77F2"/>
    <w:rsid w:val="000D29EA"/>
    <w:rsid w:val="000D5F00"/>
    <w:rsid w:val="000E03AB"/>
    <w:rsid w:val="000E0FA1"/>
    <w:rsid w:val="000E1722"/>
    <w:rsid w:val="000E464A"/>
    <w:rsid w:val="000F1AC3"/>
    <w:rsid w:val="000F25E1"/>
    <w:rsid w:val="00112452"/>
    <w:rsid w:val="001164B0"/>
    <w:rsid w:val="001179BB"/>
    <w:rsid w:val="00120FD7"/>
    <w:rsid w:val="00122B82"/>
    <w:rsid w:val="0013301D"/>
    <w:rsid w:val="001359EF"/>
    <w:rsid w:val="0016150E"/>
    <w:rsid w:val="00167114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0BE3"/>
    <w:rsid w:val="001C13F1"/>
    <w:rsid w:val="001C2147"/>
    <w:rsid w:val="001C4273"/>
    <w:rsid w:val="001D75ED"/>
    <w:rsid w:val="001E4610"/>
    <w:rsid w:val="001F2836"/>
    <w:rsid w:val="001F2899"/>
    <w:rsid w:val="00206C8E"/>
    <w:rsid w:val="00213CFD"/>
    <w:rsid w:val="00217542"/>
    <w:rsid w:val="00244F43"/>
    <w:rsid w:val="00250C40"/>
    <w:rsid w:val="00255411"/>
    <w:rsid w:val="00256A54"/>
    <w:rsid w:val="00260D26"/>
    <w:rsid w:val="00262BED"/>
    <w:rsid w:val="00265A99"/>
    <w:rsid w:val="00265BA5"/>
    <w:rsid w:val="00267749"/>
    <w:rsid w:val="00267956"/>
    <w:rsid w:val="00270772"/>
    <w:rsid w:val="00270890"/>
    <w:rsid w:val="00272CF5"/>
    <w:rsid w:val="002778A8"/>
    <w:rsid w:val="00281932"/>
    <w:rsid w:val="00282E4A"/>
    <w:rsid w:val="00287C27"/>
    <w:rsid w:val="00296923"/>
    <w:rsid w:val="002A012E"/>
    <w:rsid w:val="002A66C9"/>
    <w:rsid w:val="002A74DB"/>
    <w:rsid w:val="002B1A23"/>
    <w:rsid w:val="002B1EC5"/>
    <w:rsid w:val="002B51DF"/>
    <w:rsid w:val="002B6E90"/>
    <w:rsid w:val="002B7190"/>
    <w:rsid w:val="002C55A1"/>
    <w:rsid w:val="002C5A6D"/>
    <w:rsid w:val="002D3C6D"/>
    <w:rsid w:val="002E0B44"/>
    <w:rsid w:val="002E18D0"/>
    <w:rsid w:val="002E6843"/>
    <w:rsid w:val="003015DF"/>
    <w:rsid w:val="00323185"/>
    <w:rsid w:val="00331619"/>
    <w:rsid w:val="00331C07"/>
    <w:rsid w:val="0033277D"/>
    <w:rsid w:val="00333339"/>
    <w:rsid w:val="0033734C"/>
    <w:rsid w:val="00342179"/>
    <w:rsid w:val="003424BB"/>
    <w:rsid w:val="0034655F"/>
    <w:rsid w:val="00357CCB"/>
    <w:rsid w:val="00360817"/>
    <w:rsid w:val="003648DC"/>
    <w:rsid w:val="00365791"/>
    <w:rsid w:val="00367132"/>
    <w:rsid w:val="00375926"/>
    <w:rsid w:val="00383AC1"/>
    <w:rsid w:val="00396F86"/>
    <w:rsid w:val="00397568"/>
    <w:rsid w:val="003A076D"/>
    <w:rsid w:val="003B0E1D"/>
    <w:rsid w:val="003B10F0"/>
    <w:rsid w:val="003B426C"/>
    <w:rsid w:val="003B6D4E"/>
    <w:rsid w:val="003B725A"/>
    <w:rsid w:val="003C5067"/>
    <w:rsid w:val="003E2A3E"/>
    <w:rsid w:val="003E4E4B"/>
    <w:rsid w:val="003F73CB"/>
    <w:rsid w:val="003F780E"/>
    <w:rsid w:val="00400AC8"/>
    <w:rsid w:val="00414E90"/>
    <w:rsid w:val="00415188"/>
    <w:rsid w:val="004179D1"/>
    <w:rsid w:val="004215CA"/>
    <w:rsid w:val="00423BCF"/>
    <w:rsid w:val="00427290"/>
    <w:rsid w:val="004367A3"/>
    <w:rsid w:val="00436AED"/>
    <w:rsid w:val="00437B01"/>
    <w:rsid w:val="00444837"/>
    <w:rsid w:val="00444FAB"/>
    <w:rsid w:val="00447BE5"/>
    <w:rsid w:val="00456F9A"/>
    <w:rsid w:val="00463D76"/>
    <w:rsid w:val="004644AE"/>
    <w:rsid w:val="0046719E"/>
    <w:rsid w:val="004701DA"/>
    <w:rsid w:val="00470F8C"/>
    <w:rsid w:val="00474F08"/>
    <w:rsid w:val="004812A5"/>
    <w:rsid w:val="00482CB2"/>
    <w:rsid w:val="00483358"/>
    <w:rsid w:val="00486552"/>
    <w:rsid w:val="00491015"/>
    <w:rsid w:val="00496ACF"/>
    <w:rsid w:val="004A4D16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218A"/>
    <w:rsid w:val="00533CE8"/>
    <w:rsid w:val="00534D6D"/>
    <w:rsid w:val="00541188"/>
    <w:rsid w:val="0054660D"/>
    <w:rsid w:val="00553898"/>
    <w:rsid w:val="005638B8"/>
    <w:rsid w:val="00563BCB"/>
    <w:rsid w:val="00565A2C"/>
    <w:rsid w:val="00574552"/>
    <w:rsid w:val="00575668"/>
    <w:rsid w:val="00591B7A"/>
    <w:rsid w:val="005A3454"/>
    <w:rsid w:val="005C033C"/>
    <w:rsid w:val="005C3847"/>
    <w:rsid w:val="005E38D8"/>
    <w:rsid w:val="005E3BD9"/>
    <w:rsid w:val="005E649B"/>
    <w:rsid w:val="005F023A"/>
    <w:rsid w:val="005F3659"/>
    <w:rsid w:val="006037A5"/>
    <w:rsid w:val="0060654C"/>
    <w:rsid w:val="0060691C"/>
    <w:rsid w:val="00611FF7"/>
    <w:rsid w:val="00612373"/>
    <w:rsid w:val="00612934"/>
    <w:rsid w:val="00614B50"/>
    <w:rsid w:val="006213B9"/>
    <w:rsid w:val="00621949"/>
    <w:rsid w:val="006241EC"/>
    <w:rsid w:val="00631992"/>
    <w:rsid w:val="00634B52"/>
    <w:rsid w:val="00641FB7"/>
    <w:rsid w:val="0066004A"/>
    <w:rsid w:val="0066329F"/>
    <w:rsid w:val="0066410A"/>
    <w:rsid w:val="00671DA6"/>
    <w:rsid w:val="0067613F"/>
    <w:rsid w:val="00676922"/>
    <w:rsid w:val="00681B72"/>
    <w:rsid w:val="006911B5"/>
    <w:rsid w:val="00693BC3"/>
    <w:rsid w:val="00695601"/>
    <w:rsid w:val="006962C0"/>
    <w:rsid w:val="006A485B"/>
    <w:rsid w:val="006B3BE3"/>
    <w:rsid w:val="006C038D"/>
    <w:rsid w:val="006C1338"/>
    <w:rsid w:val="006C1B8B"/>
    <w:rsid w:val="006C508D"/>
    <w:rsid w:val="006C68DE"/>
    <w:rsid w:val="006D0984"/>
    <w:rsid w:val="006D0F50"/>
    <w:rsid w:val="006D15F6"/>
    <w:rsid w:val="006D63CE"/>
    <w:rsid w:val="006E05BC"/>
    <w:rsid w:val="006E106B"/>
    <w:rsid w:val="006E1FCF"/>
    <w:rsid w:val="006F18DC"/>
    <w:rsid w:val="0070391A"/>
    <w:rsid w:val="00722849"/>
    <w:rsid w:val="00722E75"/>
    <w:rsid w:val="0072453A"/>
    <w:rsid w:val="007257C7"/>
    <w:rsid w:val="0073596C"/>
    <w:rsid w:val="007373E1"/>
    <w:rsid w:val="00740A49"/>
    <w:rsid w:val="00746361"/>
    <w:rsid w:val="0075355A"/>
    <w:rsid w:val="0075422A"/>
    <w:rsid w:val="007549C7"/>
    <w:rsid w:val="00756193"/>
    <w:rsid w:val="007650A5"/>
    <w:rsid w:val="00765D16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96C0A"/>
    <w:rsid w:val="007A60D3"/>
    <w:rsid w:val="007B294D"/>
    <w:rsid w:val="007B2989"/>
    <w:rsid w:val="007B6F5C"/>
    <w:rsid w:val="007B7E9E"/>
    <w:rsid w:val="007C31DC"/>
    <w:rsid w:val="007D3868"/>
    <w:rsid w:val="007D6B2C"/>
    <w:rsid w:val="007E1D76"/>
    <w:rsid w:val="007E2584"/>
    <w:rsid w:val="007E324C"/>
    <w:rsid w:val="007E51DB"/>
    <w:rsid w:val="007E769F"/>
    <w:rsid w:val="007F54FF"/>
    <w:rsid w:val="007F770B"/>
    <w:rsid w:val="00801B46"/>
    <w:rsid w:val="008077DE"/>
    <w:rsid w:val="00807FC7"/>
    <w:rsid w:val="0081109C"/>
    <w:rsid w:val="00813797"/>
    <w:rsid w:val="00814217"/>
    <w:rsid w:val="00816FFB"/>
    <w:rsid w:val="00817E65"/>
    <w:rsid w:val="0082410E"/>
    <w:rsid w:val="008242EA"/>
    <w:rsid w:val="00825491"/>
    <w:rsid w:val="0083181A"/>
    <w:rsid w:val="00832880"/>
    <w:rsid w:val="008438F3"/>
    <w:rsid w:val="00844706"/>
    <w:rsid w:val="008535D4"/>
    <w:rsid w:val="0085704E"/>
    <w:rsid w:val="00872CD2"/>
    <w:rsid w:val="00883EFF"/>
    <w:rsid w:val="008A09A2"/>
    <w:rsid w:val="008A0A22"/>
    <w:rsid w:val="008B1385"/>
    <w:rsid w:val="008B6427"/>
    <w:rsid w:val="008C0162"/>
    <w:rsid w:val="008C16F8"/>
    <w:rsid w:val="008C6643"/>
    <w:rsid w:val="008E0FB8"/>
    <w:rsid w:val="008E285C"/>
    <w:rsid w:val="008F18B2"/>
    <w:rsid w:val="009039FB"/>
    <w:rsid w:val="00910ECA"/>
    <w:rsid w:val="00911613"/>
    <w:rsid w:val="00911FB0"/>
    <w:rsid w:val="009176CC"/>
    <w:rsid w:val="009331D1"/>
    <w:rsid w:val="00944872"/>
    <w:rsid w:val="009503FD"/>
    <w:rsid w:val="00954370"/>
    <w:rsid w:val="00957F84"/>
    <w:rsid w:val="00963C0F"/>
    <w:rsid w:val="00972F86"/>
    <w:rsid w:val="009734E2"/>
    <w:rsid w:val="009819FE"/>
    <w:rsid w:val="00982A5C"/>
    <w:rsid w:val="0098323C"/>
    <w:rsid w:val="00984CBE"/>
    <w:rsid w:val="00987B9D"/>
    <w:rsid w:val="00995DB9"/>
    <w:rsid w:val="00996F5F"/>
    <w:rsid w:val="00997D80"/>
    <w:rsid w:val="009A6D30"/>
    <w:rsid w:val="009A788E"/>
    <w:rsid w:val="009B09C5"/>
    <w:rsid w:val="009B190B"/>
    <w:rsid w:val="009B4725"/>
    <w:rsid w:val="009B7AC6"/>
    <w:rsid w:val="009C1A5E"/>
    <w:rsid w:val="009C44BF"/>
    <w:rsid w:val="009C50D9"/>
    <w:rsid w:val="009C6CC0"/>
    <w:rsid w:val="009E6F8E"/>
    <w:rsid w:val="009F0DAC"/>
    <w:rsid w:val="009F16D8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B2FDD"/>
    <w:rsid w:val="00AC64E9"/>
    <w:rsid w:val="00AD09F7"/>
    <w:rsid w:val="00AD19B7"/>
    <w:rsid w:val="00AD1D96"/>
    <w:rsid w:val="00AF6982"/>
    <w:rsid w:val="00B03B49"/>
    <w:rsid w:val="00B06979"/>
    <w:rsid w:val="00B131B3"/>
    <w:rsid w:val="00B15B4D"/>
    <w:rsid w:val="00B169BA"/>
    <w:rsid w:val="00B20E93"/>
    <w:rsid w:val="00B232F2"/>
    <w:rsid w:val="00B309F2"/>
    <w:rsid w:val="00B324D0"/>
    <w:rsid w:val="00B32D00"/>
    <w:rsid w:val="00B36AA3"/>
    <w:rsid w:val="00B41CEC"/>
    <w:rsid w:val="00B457B4"/>
    <w:rsid w:val="00B53BC0"/>
    <w:rsid w:val="00B53D20"/>
    <w:rsid w:val="00B62AF5"/>
    <w:rsid w:val="00B6504C"/>
    <w:rsid w:val="00B65B47"/>
    <w:rsid w:val="00B73FFE"/>
    <w:rsid w:val="00B76994"/>
    <w:rsid w:val="00B8321D"/>
    <w:rsid w:val="00B94D8A"/>
    <w:rsid w:val="00B951F8"/>
    <w:rsid w:val="00BA42CB"/>
    <w:rsid w:val="00BA462B"/>
    <w:rsid w:val="00BB06B4"/>
    <w:rsid w:val="00BB13FC"/>
    <w:rsid w:val="00BB47E2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23B1"/>
    <w:rsid w:val="00C1374D"/>
    <w:rsid w:val="00C15E1C"/>
    <w:rsid w:val="00C204ED"/>
    <w:rsid w:val="00C21D4C"/>
    <w:rsid w:val="00C222D6"/>
    <w:rsid w:val="00C2633E"/>
    <w:rsid w:val="00C2670B"/>
    <w:rsid w:val="00C30EFE"/>
    <w:rsid w:val="00C31DBD"/>
    <w:rsid w:val="00C3257D"/>
    <w:rsid w:val="00C34CF3"/>
    <w:rsid w:val="00C359CC"/>
    <w:rsid w:val="00C36340"/>
    <w:rsid w:val="00C40D98"/>
    <w:rsid w:val="00C42AAA"/>
    <w:rsid w:val="00C4393E"/>
    <w:rsid w:val="00C46D42"/>
    <w:rsid w:val="00C54C6F"/>
    <w:rsid w:val="00C563AE"/>
    <w:rsid w:val="00C61D2C"/>
    <w:rsid w:val="00C6510F"/>
    <w:rsid w:val="00C863AD"/>
    <w:rsid w:val="00CA03CB"/>
    <w:rsid w:val="00CA084B"/>
    <w:rsid w:val="00CC1145"/>
    <w:rsid w:val="00CC32B4"/>
    <w:rsid w:val="00CC4FE0"/>
    <w:rsid w:val="00CC671F"/>
    <w:rsid w:val="00CC6A75"/>
    <w:rsid w:val="00CC7F2B"/>
    <w:rsid w:val="00CD4DE7"/>
    <w:rsid w:val="00CE077A"/>
    <w:rsid w:val="00CE1B12"/>
    <w:rsid w:val="00CE325B"/>
    <w:rsid w:val="00CE6BFF"/>
    <w:rsid w:val="00CF3C59"/>
    <w:rsid w:val="00D005DB"/>
    <w:rsid w:val="00D0787E"/>
    <w:rsid w:val="00D2442D"/>
    <w:rsid w:val="00D268A1"/>
    <w:rsid w:val="00D26937"/>
    <w:rsid w:val="00D27C42"/>
    <w:rsid w:val="00D31488"/>
    <w:rsid w:val="00D31D93"/>
    <w:rsid w:val="00D31FCD"/>
    <w:rsid w:val="00D40725"/>
    <w:rsid w:val="00D42621"/>
    <w:rsid w:val="00D42C01"/>
    <w:rsid w:val="00D43CF2"/>
    <w:rsid w:val="00D46301"/>
    <w:rsid w:val="00D5005D"/>
    <w:rsid w:val="00D52BA5"/>
    <w:rsid w:val="00D54B57"/>
    <w:rsid w:val="00D5515B"/>
    <w:rsid w:val="00D5541D"/>
    <w:rsid w:val="00D638A3"/>
    <w:rsid w:val="00D65C75"/>
    <w:rsid w:val="00D679E4"/>
    <w:rsid w:val="00D7231C"/>
    <w:rsid w:val="00D822AB"/>
    <w:rsid w:val="00D91806"/>
    <w:rsid w:val="00D9376A"/>
    <w:rsid w:val="00DA0AFA"/>
    <w:rsid w:val="00DA33EB"/>
    <w:rsid w:val="00DA52E7"/>
    <w:rsid w:val="00DA6DDB"/>
    <w:rsid w:val="00DC082F"/>
    <w:rsid w:val="00DC69CD"/>
    <w:rsid w:val="00DD1C80"/>
    <w:rsid w:val="00DD3D0A"/>
    <w:rsid w:val="00DD47CC"/>
    <w:rsid w:val="00DE32BD"/>
    <w:rsid w:val="00DF001F"/>
    <w:rsid w:val="00DF1BFF"/>
    <w:rsid w:val="00DF2AD4"/>
    <w:rsid w:val="00DF56E8"/>
    <w:rsid w:val="00DF5BE6"/>
    <w:rsid w:val="00DF629C"/>
    <w:rsid w:val="00E000D2"/>
    <w:rsid w:val="00E00703"/>
    <w:rsid w:val="00E0530E"/>
    <w:rsid w:val="00E10BD4"/>
    <w:rsid w:val="00E12378"/>
    <w:rsid w:val="00E14437"/>
    <w:rsid w:val="00E446D1"/>
    <w:rsid w:val="00E47DD5"/>
    <w:rsid w:val="00E540BE"/>
    <w:rsid w:val="00E549CB"/>
    <w:rsid w:val="00E60EA1"/>
    <w:rsid w:val="00E8452B"/>
    <w:rsid w:val="00E86353"/>
    <w:rsid w:val="00E902D5"/>
    <w:rsid w:val="00E929FE"/>
    <w:rsid w:val="00EA47B6"/>
    <w:rsid w:val="00EA6C4C"/>
    <w:rsid w:val="00EA7EC6"/>
    <w:rsid w:val="00EA7F4E"/>
    <w:rsid w:val="00EC70C3"/>
    <w:rsid w:val="00ED0D01"/>
    <w:rsid w:val="00ED1EF1"/>
    <w:rsid w:val="00EE0F9F"/>
    <w:rsid w:val="00EE6E9E"/>
    <w:rsid w:val="00EF2580"/>
    <w:rsid w:val="00EF6838"/>
    <w:rsid w:val="00EF7C64"/>
    <w:rsid w:val="00F041B1"/>
    <w:rsid w:val="00F153E6"/>
    <w:rsid w:val="00F15D53"/>
    <w:rsid w:val="00F26672"/>
    <w:rsid w:val="00F328D9"/>
    <w:rsid w:val="00F41C8D"/>
    <w:rsid w:val="00F4578A"/>
    <w:rsid w:val="00F46745"/>
    <w:rsid w:val="00F5508D"/>
    <w:rsid w:val="00F611E5"/>
    <w:rsid w:val="00F61DB1"/>
    <w:rsid w:val="00F67565"/>
    <w:rsid w:val="00F676D3"/>
    <w:rsid w:val="00F7374D"/>
    <w:rsid w:val="00F75C25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2710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markedcontent">
    <w:name w:val="markedcontent"/>
    <w:basedOn w:val="a0"/>
    <w:rsid w:val="00CE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E9621-8158-4469-AFED-B882A439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12</Pages>
  <Words>3950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26419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356</cp:revision>
  <cp:lastPrinted>2022-09-23T05:56:00Z</cp:lastPrinted>
  <dcterms:created xsi:type="dcterms:W3CDTF">2019-05-16T11:40:00Z</dcterms:created>
  <dcterms:modified xsi:type="dcterms:W3CDTF">2022-12-13T05:24:00Z</dcterms:modified>
</cp:coreProperties>
</file>