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0C6316" w:rsidRDefault="00084D0D" w:rsidP="00084D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hyperlink r:id="rId7" w:history="1">
        <w:r w:rsidR="000C6316" w:rsidRPr="00875D71">
          <w:rPr>
            <w:rStyle w:val="ab"/>
            <w:rFonts w:ascii="Times New Roman CYR" w:eastAsia="Times New Roman" w:hAnsi="Times New Roman CYR" w:cs="Times New Roman CYR"/>
            <w:lang w:val="en-US" w:eastAsia="ru-RU"/>
          </w:rPr>
          <w:t>sp</w:t>
        </w:r>
        <w:r w:rsidR="000C6316" w:rsidRPr="00875D71">
          <w:rPr>
            <w:rStyle w:val="ab"/>
            <w:rFonts w:ascii="Times New Roman CYR" w:eastAsia="Times New Roman" w:hAnsi="Times New Roman CYR" w:cs="Times New Roman CYR"/>
            <w:lang w:eastAsia="ru-RU"/>
          </w:rPr>
          <w:t>-</w:t>
        </w:r>
        <w:r w:rsidR="000C6316" w:rsidRPr="00875D71">
          <w:rPr>
            <w:rStyle w:val="ab"/>
            <w:rFonts w:ascii="Times New Roman CYR" w:eastAsia="Times New Roman" w:hAnsi="Times New Roman CYR" w:cs="Times New Roman CYR"/>
            <w:lang w:val="en-US" w:eastAsia="ru-RU"/>
          </w:rPr>
          <w:t>ugansk</w:t>
        </w:r>
        <w:r w:rsidR="000C6316" w:rsidRPr="00875D71">
          <w:rPr>
            <w:rStyle w:val="ab"/>
            <w:rFonts w:ascii="Times New Roman CYR" w:eastAsia="Times New Roman" w:hAnsi="Times New Roman CYR" w:cs="Times New Roman CYR"/>
            <w:lang w:eastAsia="ru-RU"/>
          </w:rPr>
          <w:t>@</w:t>
        </w:r>
        <w:r w:rsidR="000C6316" w:rsidRPr="00875D71">
          <w:rPr>
            <w:rStyle w:val="ab"/>
            <w:rFonts w:ascii="Times New Roman CYR" w:eastAsia="Times New Roman" w:hAnsi="Times New Roman CYR" w:cs="Times New Roman CYR"/>
            <w:lang w:val="en-US" w:eastAsia="ru-RU"/>
          </w:rPr>
          <w:t>mail</w:t>
        </w:r>
        <w:r w:rsidR="000C6316" w:rsidRPr="00875D71">
          <w:rPr>
            <w:rStyle w:val="ab"/>
            <w:rFonts w:ascii="Times New Roman CYR" w:eastAsia="Times New Roman" w:hAnsi="Times New Roman CYR" w:cs="Times New Roman CYR"/>
            <w:lang w:eastAsia="ru-RU"/>
          </w:rPr>
          <w:t>.</w:t>
        </w:r>
        <w:r w:rsidR="000C6316" w:rsidRPr="00875D71">
          <w:rPr>
            <w:rStyle w:val="ab"/>
            <w:rFonts w:ascii="Times New Roman CYR" w:eastAsia="Times New Roman" w:hAnsi="Times New Roman CYR" w:cs="Times New Roman CYR"/>
            <w:lang w:val="en-US" w:eastAsia="ru-RU"/>
          </w:rPr>
          <w:t>ru</w:t>
        </w:r>
      </w:hyperlink>
    </w:p>
    <w:p w:rsidR="000C6316" w:rsidRPr="000C6316" w:rsidRDefault="000C6316" w:rsidP="00084D0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</w:p>
    <w:p w:rsidR="000C6316" w:rsidRPr="000C6316" w:rsidRDefault="000C6316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6316" w:rsidRPr="00F93EB7" w:rsidRDefault="000C6316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0019D8" w:rsidRDefault="00160776" w:rsidP="003D796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Исх.</w:t>
            </w:r>
            <w:r w:rsidR="002B59AC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>СП-</w:t>
            </w:r>
            <w:r w:rsidR="003D7963">
              <w:rPr>
                <w:sz w:val="28"/>
                <w:szCs w:val="28"/>
              </w:rPr>
              <w:t>711-</w:t>
            </w:r>
            <w:r w:rsidRPr="000019D8">
              <w:rPr>
                <w:sz w:val="28"/>
                <w:szCs w:val="28"/>
              </w:rPr>
              <w:t>2</w:t>
            </w:r>
            <w:r w:rsidR="003E57CF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 xml:space="preserve">от </w:t>
            </w:r>
            <w:r w:rsidR="007A0598" w:rsidRPr="000019D8">
              <w:rPr>
                <w:sz w:val="28"/>
                <w:szCs w:val="28"/>
              </w:rPr>
              <w:t>25</w:t>
            </w:r>
            <w:r w:rsidR="00F733CB" w:rsidRPr="000019D8">
              <w:rPr>
                <w:sz w:val="28"/>
                <w:szCs w:val="28"/>
              </w:rPr>
              <w:t>.10</w:t>
            </w:r>
            <w:r w:rsidRPr="000019D8">
              <w:rPr>
                <w:sz w:val="28"/>
                <w:szCs w:val="28"/>
              </w:rPr>
              <w:t xml:space="preserve">.2022 </w:t>
            </w:r>
            <w:r w:rsidR="00084D0D" w:rsidRPr="00001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FF6CB9" w:rsidRPr="000019D8" w:rsidRDefault="00FF6CB9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84D0D" w:rsidRPr="00410BAA" w:rsidRDefault="00084D0D" w:rsidP="007B7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316" w:rsidRDefault="000C6316" w:rsidP="007B7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91F33" w:rsidRPr="00410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F33" w:rsidRPr="000C6316" w:rsidRDefault="00591F33" w:rsidP="007B7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316">
        <w:rPr>
          <w:rFonts w:ascii="Times New Roman" w:hAnsi="Times New Roman" w:cs="Times New Roman"/>
          <w:sz w:val="28"/>
          <w:szCs w:val="28"/>
        </w:rPr>
        <w:t>на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591F33" w:rsidRPr="000C6316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10BAA">
        <w:rPr>
          <w:rFonts w:ascii="Times New Roman" w:hAnsi="Times New Roman" w:cs="Times New Roman"/>
          <w:sz w:val="28"/>
          <w:szCs w:val="28"/>
        </w:rPr>
        <w:t>, рассмотрев проект постановления администрации города Нефтеюганска «О внесении изменений в постановление администрации города Нефтеюганска от 15.11.2018 № 592-п «Об утверждении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 w:rsidR="00A44521" w:rsidRPr="00410BAA">
        <w:rPr>
          <w:rFonts w:ascii="Times New Roman" w:hAnsi="Times New Roman" w:cs="Times New Roman"/>
          <w:sz w:val="28"/>
          <w:szCs w:val="28"/>
        </w:rPr>
        <w:t xml:space="preserve"> Порядок от 18.04.2019 № 77-нп</w:t>
      </w:r>
      <w:r w:rsidRPr="00410BAA">
        <w:rPr>
          <w:rFonts w:ascii="Times New Roman" w:hAnsi="Times New Roman" w:cs="Times New Roman"/>
          <w:sz w:val="28"/>
          <w:szCs w:val="28"/>
        </w:rPr>
        <w:t>);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410BAA">
        <w:rPr>
          <w:rFonts w:ascii="Times New Roman" w:hAnsi="Times New Roman" w:cs="Times New Roman"/>
          <w:sz w:val="28"/>
          <w:szCs w:val="28"/>
        </w:rPr>
        <w:lastRenderedPageBreak/>
        <w:t>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в сфере управления проектной деятельностью. 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2. Проектом изменений планируется: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2.1. В паспорте проекта изменений: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 1</w:t>
      </w:r>
      <w:r w:rsidR="00772F82" w:rsidRPr="00410BAA">
        <w:rPr>
          <w:rFonts w:ascii="Times New Roman" w:hAnsi="Times New Roman" w:cs="Times New Roman"/>
          <w:sz w:val="28"/>
          <w:szCs w:val="28"/>
        </w:rPr>
        <w:t>35</w:t>
      </w:r>
      <w:r w:rsidRPr="00410BAA">
        <w:rPr>
          <w:rFonts w:ascii="Times New Roman" w:hAnsi="Times New Roman" w:cs="Times New Roman"/>
          <w:sz w:val="28"/>
          <w:szCs w:val="28"/>
        </w:rPr>
        <w:t> </w:t>
      </w:r>
      <w:r w:rsidR="00772F82" w:rsidRPr="00410BAA">
        <w:rPr>
          <w:rFonts w:ascii="Times New Roman" w:hAnsi="Times New Roman" w:cs="Times New Roman"/>
          <w:sz w:val="28"/>
          <w:szCs w:val="28"/>
        </w:rPr>
        <w:t>251</w:t>
      </w:r>
      <w:r w:rsidRPr="00410BAA">
        <w:rPr>
          <w:rFonts w:ascii="Times New Roman" w:hAnsi="Times New Roman" w:cs="Times New Roman"/>
          <w:sz w:val="28"/>
          <w:szCs w:val="28"/>
        </w:rPr>
        <w:t>,</w:t>
      </w:r>
      <w:r w:rsidR="00772F82" w:rsidRPr="00410BAA">
        <w:rPr>
          <w:rFonts w:ascii="Times New Roman" w:hAnsi="Times New Roman" w:cs="Times New Roman"/>
          <w:sz w:val="28"/>
          <w:szCs w:val="28"/>
        </w:rPr>
        <w:t>413</w:t>
      </w:r>
      <w:r w:rsidRPr="00410BAA">
        <w:rPr>
          <w:rFonts w:ascii="Times New Roman" w:hAnsi="Times New Roman" w:cs="Times New Roman"/>
          <w:sz w:val="28"/>
          <w:szCs w:val="28"/>
        </w:rPr>
        <w:t xml:space="preserve"> тыс. рублей за счёт средств местного бюджета, в том числе:</w:t>
      </w:r>
    </w:p>
    <w:p w:rsidR="00591F33" w:rsidRPr="00410BAA" w:rsidRDefault="00591F33" w:rsidP="007B7E56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- 2022 год – </w:t>
      </w:r>
      <w:r w:rsidR="00772F82" w:rsidRPr="00410BAA">
        <w:rPr>
          <w:sz w:val="28"/>
          <w:szCs w:val="28"/>
        </w:rPr>
        <w:t>33 159,733</w:t>
      </w:r>
      <w:r w:rsidRPr="00410BAA">
        <w:rPr>
          <w:sz w:val="28"/>
          <w:szCs w:val="28"/>
        </w:rPr>
        <w:t xml:space="preserve"> тыс. рублей;</w:t>
      </w:r>
    </w:p>
    <w:p w:rsidR="00591F33" w:rsidRPr="00410BAA" w:rsidRDefault="00591F33" w:rsidP="007B7E56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>- 2023 год – 1</w:t>
      </w:r>
      <w:r w:rsidR="00772F82" w:rsidRPr="00410BAA">
        <w:rPr>
          <w:sz w:val="28"/>
          <w:szCs w:val="28"/>
        </w:rPr>
        <w:t>2 761,460</w:t>
      </w:r>
      <w:r w:rsidRPr="00410BAA">
        <w:rPr>
          <w:sz w:val="28"/>
          <w:szCs w:val="28"/>
        </w:rPr>
        <w:t xml:space="preserve"> тыс. рублей;</w:t>
      </w:r>
    </w:p>
    <w:p w:rsidR="00591F33" w:rsidRPr="00410BAA" w:rsidRDefault="00591F33" w:rsidP="007B7E56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- 2024 год – </w:t>
      </w:r>
      <w:r w:rsidR="00772F82" w:rsidRPr="00410BAA">
        <w:rPr>
          <w:sz w:val="28"/>
          <w:szCs w:val="28"/>
        </w:rPr>
        <w:t xml:space="preserve">12 761,460 </w:t>
      </w:r>
      <w:r w:rsidRPr="00410BAA">
        <w:rPr>
          <w:sz w:val="28"/>
          <w:szCs w:val="28"/>
        </w:rPr>
        <w:t>тыс. рублей;</w:t>
      </w:r>
    </w:p>
    <w:p w:rsidR="00591F33" w:rsidRPr="00410BAA" w:rsidRDefault="00591F33" w:rsidP="007B7E56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- 2025 год – </w:t>
      </w:r>
      <w:r w:rsidR="00772F82" w:rsidRPr="00410BAA">
        <w:rPr>
          <w:sz w:val="28"/>
          <w:szCs w:val="28"/>
        </w:rPr>
        <w:t xml:space="preserve">12 761,460 </w:t>
      </w:r>
      <w:r w:rsidRPr="00410BAA">
        <w:rPr>
          <w:sz w:val="28"/>
          <w:szCs w:val="28"/>
        </w:rPr>
        <w:t>тыс. рублей;</w:t>
      </w:r>
    </w:p>
    <w:p w:rsidR="00591F33" w:rsidRPr="00410BAA" w:rsidRDefault="00591F33" w:rsidP="007B7E56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- 2026 год – </w:t>
      </w:r>
      <w:r w:rsidR="00772F82" w:rsidRPr="00410BAA">
        <w:rPr>
          <w:sz w:val="28"/>
          <w:szCs w:val="28"/>
        </w:rPr>
        <w:t xml:space="preserve">12 761,460 </w:t>
      </w:r>
      <w:r w:rsidRPr="00410BAA">
        <w:rPr>
          <w:sz w:val="28"/>
          <w:szCs w:val="28"/>
        </w:rPr>
        <w:t>тыс. рублей;</w:t>
      </w:r>
    </w:p>
    <w:p w:rsidR="00591F33" w:rsidRPr="00410BAA" w:rsidRDefault="00591F33" w:rsidP="007B7E56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- 2027 год – </w:t>
      </w:r>
      <w:r w:rsidR="00772F82" w:rsidRPr="00410BAA">
        <w:rPr>
          <w:sz w:val="28"/>
          <w:szCs w:val="28"/>
        </w:rPr>
        <w:t xml:space="preserve">12 761,460 </w:t>
      </w:r>
      <w:r w:rsidRPr="00410BAA">
        <w:rPr>
          <w:sz w:val="28"/>
          <w:szCs w:val="28"/>
        </w:rPr>
        <w:t>тыс. рублей;</w:t>
      </w:r>
    </w:p>
    <w:p w:rsidR="00591F33" w:rsidRPr="00410BAA" w:rsidRDefault="00591F33" w:rsidP="007B7E56">
      <w:pPr>
        <w:pStyle w:val="aa"/>
        <w:rPr>
          <w:sz w:val="28"/>
          <w:szCs w:val="28"/>
        </w:rPr>
      </w:pPr>
      <w:r w:rsidRPr="00410BAA">
        <w:rPr>
          <w:sz w:val="28"/>
          <w:szCs w:val="28"/>
        </w:rPr>
        <w:t xml:space="preserve">- 2028 год – </w:t>
      </w:r>
      <w:r w:rsidR="00772F82" w:rsidRPr="00410BAA">
        <w:rPr>
          <w:sz w:val="28"/>
          <w:szCs w:val="28"/>
        </w:rPr>
        <w:t xml:space="preserve">12 761,460 </w:t>
      </w:r>
      <w:r w:rsidRPr="00410BAA">
        <w:rPr>
          <w:sz w:val="28"/>
          <w:szCs w:val="28"/>
        </w:rPr>
        <w:t>тыс. рублей;</w:t>
      </w:r>
    </w:p>
    <w:p w:rsidR="00591F33" w:rsidRPr="00410BAA" w:rsidRDefault="00591F33" w:rsidP="007B7E56">
      <w:pPr>
        <w:pStyle w:val="aa"/>
        <w:rPr>
          <w:sz w:val="28"/>
          <w:szCs w:val="28"/>
        </w:rPr>
      </w:pPr>
      <w:r w:rsidRPr="00410BAA">
        <w:rPr>
          <w:sz w:val="28"/>
          <w:szCs w:val="28"/>
        </w:rPr>
        <w:t xml:space="preserve">- 2029 год – </w:t>
      </w:r>
      <w:r w:rsidR="00772F82" w:rsidRPr="00410BAA">
        <w:rPr>
          <w:sz w:val="28"/>
          <w:szCs w:val="28"/>
        </w:rPr>
        <w:t xml:space="preserve">12 761,460 </w:t>
      </w:r>
      <w:r w:rsidRPr="00410BAA">
        <w:rPr>
          <w:sz w:val="28"/>
          <w:szCs w:val="28"/>
        </w:rPr>
        <w:t>тыс. рублей;</w:t>
      </w:r>
    </w:p>
    <w:p w:rsidR="00591F33" w:rsidRPr="00410BAA" w:rsidRDefault="00591F33" w:rsidP="007B7E56">
      <w:pPr>
        <w:pStyle w:val="aa"/>
        <w:rPr>
          <w:sz w:val="28"/>
          <w:szCs w:val="28"/>
        </w:rPr>
      </w:pPr>
      <w:r w:rsidRPr="00410BAA">
        <w:rPr>
          <w:sz w:val="28"/>
          <w:szCs w:val="28"/>
        </w:rPr>
        <w:t xml:space="preserve">- 2030 год – </w:t>
      </w:r>
      <w:r w:rsidR="00772F82" w:rsidRPr="00410BAA">
        <w:rPr>
          <w:sz w:val="28"/>
          <w:szCs w:val="28"/>
        </w:rPr>
        <w:t xml:space="preserve">12 761,460 </w:t>
      </w:r>
      <w:r w:rsidRPr="00410BAA">
        <w:rPr>
          <w:sz w:val="28"/>
          <w:szCs w:val="28"/>
        </w:rPr>
        <w:t>тыс. рублей.</w:t>
      </w:r>
    </w:p>
    <w:p w:rsidR="00206EFC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2.2. По мероприятию 1.1 «</w:t>
      </w:r>
      <w:r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на территории города» </w:t>
      </w:r>
      <w:r w:rsidRPr="00410BAA">
        <w:rPr>
          <w:rFonts w:ascii="Times New Roman" w:hAnsi="Times New Roman" w:cs="Times New Roman"/>
          <w:sz w:val="28"/>
          <w:szCs w:val="28"/>
        </w:rPr>
        <w:t>запланирован объём финансирования администрации города Нефтеюганска (далее по тексту - Администрация) на 202</w:t>
      </w:r>
      <w:r w:rsidR="008360F8" w:rsidRPr="00410BAA">
        <w:rPr>
          <w:rFonts w:ascii="Times New Roman" w:hAnsi="Times New Roman" w:cs="Times New Roman"/>
          <w:sz w:val="28"/>
          <w:szCs w:val="28"/>
        </w:rPr>
        <w:t>2</w:t>
      </w:r>
      <w:r w:rsidRPr="00410BAA">
        <w:rPr>
          <w:rFonts w:ascii="Times New Roman" w:hAnsi="Times New Roman" w:cs="Times New Roman"/>
          <w:sz w:val="28"/>
          <w:szCs w:val="28"/>
        </w:rPr>
        <w:t xml:space="preserve">-2030 годы в размере </w:t>
      </w:r>
      <w:r w:rsidR="00206EFC" w:rsidRPr="00410BAA">
        <w:rPr>
          <w:rFonts w:ascii="Times New Roman" w:hAnsi="Times New Roman" w:cs="Times New Roman"/>
          <w:sz w:val="28"/>
          <w:szCs w:val="28"/>
        </w:rPr>
        <w:t>60,000</w:t>
      </w:r>
      <w:r w:rsidRPr="00410BAA">
        <w:rPr>
          <w:rFonts w:ascii="Times New Roman" w:hAnsi="Times New Roman" w:cs="Times New Roman"/>
          <w:sz w:val="28"/>
          <w:szCs w:val="28"/>
        </w:rPr>
        <w:t xml:space="preserve"> тыс. рублей по каждому году соответственно</w:t>
      </w:r>
      <w:r w:rsidR="00206EFC" w:rsidRPr="00410BAA">
        <w:rPr>
          <w:rFonts w:ascii="Times New Roman" w:hAnsi="Times New Roman" w:cs="Times New Roman"/>
          <w:sz w:val="28"/>
          <w:szCs w:val="28"/>
        </w:rPr>
        <w:t xml:space="preserve"> </w:t>
      </w:r>
      <w:r w:rsidRPr="00410BAA">
        <w:rPr>
          <w:rFonts w:ascii="Times New Roman" w:hAnsi="Times New Roman" w:cs="Times New Roman"/>
          <w:sz w:val="28"/>
          <w:szCs w:val="28"/>
        </w:rPr>
        <w:t>на изготовление полиграфической продукции</w:t>
      </w:r>
      <w:r w:rsidR="00206EFC" w:rsidRPr="00410BAA">
        <w:rPr>
          <w:rFonts w:ascii="Times New Roman" w:hAnsi="Times New Roman" w:cs="Times New Roman"/>
          <w:sz w:val="28"/>
          <w:szCs w:val="28"/>
        </w:rPr>
        <w:t>.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2.3. По мероприятию 2.1 «</w:t>
      </w:r>
      <w:r w:rsidR="005E7F5B">
        <w:rPr>
          <w:rFonts w:ascii="Times New Roman" w:hAnsi="Times New Roman" w:cs="Times New Roman"/>
          <w:sz w:val="28"/>
          <w:szCs w:val="28"/>
        </w:rPr>
        <w:t xml:space="preserve">Мероприятия по повышению уровня </w:t>
      </w:r>
      <w:r w:rsidRPr="00410BAA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5E7F5B">
        <w:rPr>
          <w:rFonts w:ascii="Times New Roman" w:hAnsi="Times New Roman" w:cs="Times New Roman"/>
          <w:sz w:val="28"/>
          <w:szCs w:val="28"/>
        </w:rPr>
        <w:t>муниципальных учреждений города</w:t>
      </w:r>
      <w:r w:rsidRPr="00410BAA">
        <w:rPr>
          <w:rFonts w:ascii="Times New Roman" w:hAnsi="Times New Roman" w:cs="Times New Roman"/>
          <w:sz w:val="28"/>
          <w:szCs w:val="28"/>
        </w:rPr>
        <w:t xml:space="preserve">» </w:t>
      </w:r>
      <w:r w:rsidR="009C471D" w:rsidRPr="00410BAA">
        <w:rPr>
          <w:rFonts w:ascii="Times New Roman" w:hAnsi="Times New Roman" w:cs="Times New Roman"/>
          <w:sz w:val="28"/>
          <w:szCs w:val="28"/>
        </w:rPr>
        <w:t xml:space="preserve">на мероприятия по пожарной безопасности </w:t>
      </w:r>
      <w:r w:rsidRPr="00410BAA">
        <w:rPr>
          <w:rFonts w:ascii="Times New Roman" w:hAnsi="Times New Roman" w:cs="Times New Roman"/>
          <w:sz w:val="28"/>
          <w:szCs w:val="28"/>
        </w:rPr>
        <w:t>запланирован</w:t>
      </w:r>
      <w:r w:rsidR="00723486" w:rsidRPr="00410BAA">
        <w:rPr>
          <w:rFonts w:ascii="Times New Roman" w:hAnsi="Times New Roman" w:cs="Times New Roman"/>
          <w:sz w:val="28"/>
          <w:szCs w:val="28"/>
        </w:rPr>
        <w:t>о</w:t>
      </w:r>
      <w:r w:rsidRPr="00410BAA">
        <w:rPr>
          <w:rFonts w:ascii="Times New Roman" w:hAnsi="Times New Roman" w:cs="Times New Roman"/>
          <w:sz w:val="28"/>
          <w:szCs w:val="28"/>
        </w:rPr>
        <w:t>:</w:t>
      </w:r>
    </w:p>
    <w:p w:rsidR="00FF3BBF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1)  </w:t>
      </w:r>
      <w:r w:rsidR="00EA1799">
        <w:rPr>
          <w:rFonts w:ascii="Times New Roman" w:hAnsi="Times New Roman" w:cs="Times New Roman"/>
          <w:sz w:val="28"/>
          <w:szCs w:val="28"/>
        </w:rPr>
        <w:t>А</w:t>
      </w:r>
      <w:r w:rsidRPr="00410BAA">
        <w:rPr>
          <w:rFonts w:ascii="Times New Roman" w:hAnsi="Times New Roman" w:cs="Times New Roman"/>
          <w:sz w:val="28"/>
          <w:szCs w:val="28"/>
        </w:rPr>
        <w:t>дминистрации на 202</w:t>
      </w:r>
      <w:r w:rsidR="008360F8" w:rsidRPr="00410BAA">
        <w:rPr>
          <w:rFonts w:ascii="Times New Roman" w:hAnsi="Times New Roman" w:cs="Times New Roman"/>
          <w:sz w:val="28"/>
          <w:szCs w:val="28"/>
        </w:rPr>
        <w:t>3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2030 годы в размере </w:t>
      </w:r>
      <w:r w:rsidR="001F3FB5" w:rsidRPr="00410BAA">
        <w:rPr>
          <w:rFonts w:ascii="Times New Roman" w:hAnsi="Times New Roman" w:cs="Times New Roman"/>
          <w:sz w:val="28"/>
          <w:szCs w:val="28"/>
        </w:rPr>
        <w:t>202,600</w:t>
      </w:r>
      <w:r w:rsidRPr="00410BAA">
        <w:rPr>
          <w:rFonts w:ascii="Times New Roman" w:hAnsi="Times New Roman" w:cs="Times New Roman"/>
          <w:sz w:val="28"/>
          <w:szCs w:val="28"/>
        </w:rPr>
        <w:t xml:space="preserve"> тыс. рублей на каждый год соответственно</w:t>
      </w:r>
      <w:r w:rsidR="00FF3BBF" w:rsidRPr="00410BAA">
        <w:rPr>
          <w:rFonts w:ascii="Times New Roman" w:hAnsi="Times New Roman" w:cs="Times New Roman"/>
          <w:sz w:val="28"/>
          <w:szCs w:val="28"/>
        </w:rPr>
        <w:t>.</w:t>
      </w:r>
    </w:p>
    <w:p w:rsidR="00591F33" w:rsidRPr="00410BAA" w:rsidRDefault="00FF3BBF" w:rsidP="007B7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В обоснование планируемых расходов представлены коммерческие предложения и расчёты стоимости услуг по техническому обслуживанию систем пожарно-охранной сигнализации. Вместе с тем, установлено, что стоимость услуг по коммерческим предложениям превышает</w:t>
      </w:r>
      <w:r w:rsidR="00EA2DC6" w:rsidRPr="00410BAA">
        <w:rPr>
          <w:rFonts w:ascii="Times New Roman" w:hAnsi="Times New Roman" w:cs="Times New Roman"/>
          <w:sz w:val="28"/>
          <w:szCs w:val="28"/>
        </w:rPr>
        <w:t xml:space="preserve"> планируемые бюджетные ассигнования</w:t>
      </w:r>
      <w:r w:rsidR="00DE5D90" w:rsidRPr="00410BAA">
        <w:rPr>
          <w:rFonts w:ascii="Times New Roman" w:hAnsi="Times New Roman" w:cs="Times New Roman"/>
          <w:sz w:val="28"/>
          <w:szCs w:val="28"/>
        </w:rPr>
        <w:t xml:space="preserve">. Учитывая вероятность угрозы причинения вреда жизни и здоровью людей, </w:t>
      </w:r>
      <w:r w:rsidR="000D43FF" w:rsidRPr="00410BAA">
        <w:rPr>
          <w:rFonts w:ascii="Times New Roman" w:hAnsi="Times New Roman" w:cs="Times New Roman"/>
          <w:sz w:val="28"/>
          <w:szCs w:val="28"/>
        </w:rPr>
        <w:t xml:space="preserve">нанесению </w:t>
      </w:r>
      <w:r w:rsidR="00DE5D90" w:rsidRPr="00410BAA">
        <w:rPr>
          <w:rFonts w:ascii="Times New Roman" w:hAnsi="Times New Roman" w:cs="Times New Roman"/>
          <w:sz w:val="28"/>
          <w:szCs w:val="28"/>
        </w:rPr>
        <w:t xml:space="preserve">материального ущерба, </w:t>
      </w:r>
      <w:r w:rsidR="00EA2DC6" w:rsidRPr="00410BAA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DE5D90" w:rsidRPr="00410BAA">
        <w:rPr>
          <w:rFonts w:ascii="Times New Roman" w:hAnsi="Times New Roman" w:cs="Times New Roman"/>
          <w:sz w:val="28"/>
          <w:szCs w:val="28"/>
        </w:rPr>
        <w:t>преду</w:t>
      </w:r>
      <w:r w:rsidR="00EA2DC6" w:rsidRPr="00410BAA">
        <w:rPr>
          <w:rFonts w:ascii="Times New Roman" w:hAnsi="Times New Roman" w:cs="Times New Roman"/>
          <w:sz w:val="28"/>
          <w:szCs w:val="28"/>
        </w:rPr>
        <w:t xml:space="preserve">смотреть </w:t>
      </w:r>
      <w:r w:rsidR="00DE5D90" w:rsidRPr="00410BAA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EA2DC6" w:rsidRPr="00410BAA">
        <w:rPr>
          <w:rFonts w:ascii="Times New Roman" w:hAnsi="Times New Roman" w:cs="Times New Roman"/>
          <w:sz w:val="28"/>
          <w:szCs w:val="28"/>
        </w:rPr>
        <w:t xml:space="preserve"> </w:t>
      </w:r>
      <w:r w:rsidR="00DE5D90" w:rsidRPr="00410BAA">
        <w:rPr>
          <w:rFonts w:ascii="Times New Roman" w:hAnsi="Times New Roman" w:cs="Times New Roman"/>
          <w:sz w:val="28"/>
          <w:szCs w:val="28"/>
        </w:rPr>
        <w:t>на</w:t>
      </w:r>
      <w:r w:rsidR="00EA2DC6" w:rsidRPr="00410BA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E5D90" w:rsidRPr="00410BAA">
        <w:rPr>
          <w:rFonts w:ascii="Times New Roman" w:hAnsi="Times New Roman" w:cs="Times New Roman"/>
          <w:sz w:val="28"/>
          <w:szCs w:val="28"/>
        </w:rPr>
        <w:t>е</w:t>
      </w:r>
      <w:r w:rsidR="00EA2DC6" w:rsidRPr="00410BAA">
        <w:rPr>
          <w:rFonts w:ascii="Times New Roman" w:hAnsi="Times New Roman" w:cs="Times New Roman"/>
          <w:sz w:val="28"/>
          <w:szCs w:val="28"/>
        </w:rPr>
        <w:t xml:space="preserve"> мероприятий по техническому обслуживанию систем пожарно-охранной сигнализации</w:t>
      </w:r>
      <w:r w:rsidR="00DE5D90" w:rsidRPr="00410BAA">
        <w:rPr>
          <w:rFonts w:ascii="Times New Roman" w:hAnsi="Times New Roman" w:cs="Times New Roman"/>
          <w:sz w:val="28"/>
          <w:szCs w:val="28"/>
        </w:rPr>
        <w:t xml:space="preserve"> в полном объёме</w:t>
      </w:r>
      <w:r w:rsidR="00591F33" w:rsidRPr="00410BAA">
        <w:rPr>
          <w:rFonts w:ascii="Times New Roman" w:hAnsi="Times New Roman" w:cs="Times New Roman"/>
          <w:sz w:val="28"/>
          <w:szCs w:val="28"/>
        </w:rPr>
        <w:t>;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lastRenderedPageBreak/>
        <w:t xml:space="preserve">2) департаменту образования и молодёжной политики администрации города Нефтеюганска (далее по тексту – Департамент образования) </w:t>
      </w:r>
      <w:r w:rsidR="00723486" w:rsidRPr="00410BAA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на 2022 год в </w:t>
      </w:r>
      <w:r w:rsidR="00725C15" w:rsidRPr="00410BAA">
        <w:rPr>
          <w:rFonts w:ascii="Times New Roman" w:hAnsi="Times New Roman" w:cs="Times New Roman"/>
          <w:sz w:val="28"/>
          <w:szCs w:val="28"/>
        </w:rPr>
        <w:t xml:space="preserve">общей сумме </w:t>
      </w:r>
      <w:r w:rsidR="002151BC" w:rsidRPr="00410BAA">
        <w:rPr>
          <w:rFonts w:ascii="Times New Roman" w:hAnsi="Times New Roman" w:cs="Times New Roman"/>
          <w:sz w:val="28"/>
          <w:szCs w:val="28"/>
        </w:rPr>
        <w:t xml:space="preserve"> на </w:t>
      </w:r>
      <w:r w:rsidR="00723486" w:rsidRPr="00410BAA">
        <w:rPr>
          <w:rFonts w:ascii="Times New Roman" w:hAnsi="Times New Roman" w:cs="Times New Roman"/>
          <w:sz w:val="28"/>
          <w:szCs w:val="28"/>
        </w:rPr>
        <w:t xml:space="preserve">370,042 тыс. рублей, в том числе: на выполнение работ по огнезащитной обработке чердачных помещений МБДОУ «Детский сад № 2 «Колосок» </w:t>
      </w:r>
      <w:r w:rsidR="002151BC" w:rsidRPr="00410BAA">
        <w:rPr>
          <w:rFonts w:ascii="Times New Roman" w:hAnsi="Times New Roman" w:cs="Times New Roman"/>
          <w:sz w:val="28"/>
          <w:szCs w:val="28"/>
        </w:rPr>
        <w:t>-</w:t>
      </w:r>
      <w:r w:rsidR="00723486" w:rsidRPr="00410BAA">
        <w:rPr>
          <w:rFonts w:ascii="Times New Roman" w:hAnsi="Times New Roman" w:cs="Times New Roman"/>
          <w:sz w:val="28"/>
          <w:szCs w:val="28"/>
        </w:rPr>
        <w:t xml:space="preserve"> </w:t>
      </w:r>
      <w:r w:rsidR="00725C15" w:rsidRPr="00410BAA">
        <w:rPr>
          <w:rFonts w:ascii="Times New Roman" w:hAnsi="Times New Roman" w:cs="Times New Roman"/>
          <w:sz w:val="28"/>
          <w:szCs w:val="28"/>
        </w:rPr>
        <w:t>97,887</w:t>
      </w:r>
      <w:r w:rsidR="00723486" w:rsidRPr="00410BA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25C15" w:rsidRPr="00410BAA">
        <w:rPr>
          <w:rFonts w:ascii="Times New Roman" w:hAnsi="Times New Roman" w:cs="Times New Roman"/>
          <w:sz w:val="28"/>
          <w:szCs w:val="28"/>
        </w:rPr>
        <w:t xml:space="preserve">, на поставку расходных материалов для системы ПАК РСПИ «Стрелец-Мониторинг» в МАДОУ «Детский сад № 6 «Лукоморье» </w:t>
      </w:r>
      <w:r w:rsidR="002151BC" w:rsidRPr="00410BAA">
        <w:rPr>
          <w:rFonts w:ascii="Times New Roman" w:hAnsi="Times New Roman" w:cs="Times New Roman"/>
          <w:sz w:val="28"/>
          <w:szCs w:val="28"/>
        </w:rPr>
        <w:t>-</w:t>
      </w:r>
      <w:r w:rsidR="00725C15" w:rsidRPr="00410BAA">
        <w:rPr>
          <w:rFonts w:ascii="Times New Roman" w:hAnsi="Times New Roman" w:cs="Times New Roman"/>
          <w:sz w:val="28"/>
          <w:szCs w:val="28"/>
        </w:rPr>
        <w:t xml:space="preserve"> 17,155 тыс. рублей, на выполнение работ по перекатке пожарных рукавов, поверке и испытанию пожарных кранов в МАДОУ «Детский сад № 26 «Радость» </w:t>
      </w:r>
      <w:r w:rsidR="002151BC" w:rsidRPr="00410BAA">
        <w:rPr>
          <w:rFonts w:ascii="Times New Roman" w:hAnsi="Times New Roman" w:cs="Times New Roman"/>
          <w:sz w:val="28"/>
          <w:szCs w:val="28"/>
        </w:rPr>
        <w:t xml:space="preserve">- </w:t>
      </w:r>
      <w:r w:rsidR="00725C15" w:rsidRPr="00410BAA">
        <w:rPr>
          <w:rFonts w:ascii="Times New Roman" w:hAnsi="Times New Roman" w:cs="Times New Roman"/>
          <w:sz w:val="28"/>
          <w:szCs w:val="28"/>
        </w:rPr>
        <w:t>20,000 тыс. рублей, на поставку задвижки с электроприводом в МКУ «</w:t>
      </w:r>
      <w:proofErr w:type="spellStart"/>
      <w:r w:rsidR="00725C15" w:rsidRPr="00410BAA">
        <w:rPr>
          <w:rFonts w:ascii="Times New Roman" w:hAnsi="Times New Roman" w:cs="Times New Roman"/>
          <w:sz w:val="28"/>
          <w:szCs w:val="28"/>
        </w:rPr>
        <w:t>УУиООУ</w:t>
      </w:r>
      <w:proofErr w:type="spellEnd"/>
      <w:r w:rsidR="00725C15" w:rsidRPr="00410BAA">
        <w:rPr>
          <w:rFonts w:ascii="Times New Roman" w:hAnsi="Times New Roman" w:cs="Times New Roman"/>
          <w:sz w:val="28"/>
          <w:szCs w:val="28"/>
        </w:rPr>
        <w:t xml:space="preserve">» </w:t>
      </w:r>
      <w:r w:rsidR="002151BC" w:rsidRPr="00410BAA">
        <w:rPr>
          <w:rFonts w:ascii="Times New Roman" w:hAnsi="Times New Roman" w:cs="Times New Roman"/>
          <w:sz w:val="28"/>
          <w:szCs w:val="28"/>
        </w:rPr>
        <w:t>-</w:t>
      </w:r>
      <w:r w:rsidR="00725C15" w:rsidRPr="00410BAA">
        <w:rPr>
          <w:rFonts w:ascii="Times New Roman" w:hAnsi="Times New Roman" w:cs="Times New Roman"/>
          <w:sz w:val="28"/>
          <w:szCs w:val="28"/>
        </w:rPr>
        <w:t xml:space="preserve"> 235,000 тыс. рублей; </w:t>
      </w:r>
      <w:r w:rsidRPr="00410BAA">
        <w:rPr>
          <w:rFonts w:ascii="Times New Roman" w:hAnsi="Times New Roman" w:cs="Times New Roman"/>
          <w:sz w:val="28"/>
          <w:szCs w:val="28"/>
        </w:rPr>
        <w:t>202</w:t>
      </w:r>
      <w:r w:rsidR="0093756D" w:rsidRPr="00410BAA">
        <w:rPr>
          <w:rFonts w:ascii="Times New Roman" w:hAnsi="Times New Roman" w:cs="Times New Roman"/>
          <w:sz w:val="28"/>
          <w:szCs w:val="28"/>
        </w:rPr>
        <w:t>3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2030 годы в размере 9 276,000 тыс. рублей на каждый год соответственно;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3) комитету культуры и туризма администрации города Нефтеюганска (далее по тексту – Комитет культуры) на 20</w:t>
      </w:r>
      <w:r w:rsidR="0093756D" w:rsidRPr="00410BAA">
        <w:rPr>
          <w:rFonts w:ascii="Times New Roman" w:hAnsi="Times New Roman" w:cs="Times New Roman"/>
          <w:sz w:val="28"/>
          <w:szCs w:val="28"/>
        </w:rPr>
        <w:t>23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410BAA">
        <w:rPr>
          <w:rFonts w:ascii="Times New Roman" w:hAnsi="Times New Roman" w:cs="Times New Roman"/>
          <w:sz w:val="28"/>
          <w:szCs w:val="28"/>
        </w:rPr>
        <w:t>30</w:t>
      </w:r>
      <w:r w:rsidRPr="00410BAA">
        <w:rPr>
          <w:rFonts w:ascii="Times New Roman" w:hAnsi="Times New Roman" w:cs="Times New Roman"/>
          <w:sz w:val="28"/>
          <w:szCs w:val="28"/>
        </w:rPr>
        <w:t xml:space="preserve"> годы в размере 1 150,160 тыс. рублей на каждый год соответств</w:t>
      </w:r>
      <w:r w:rsidR="00C94B6F" w:rsidRPr="00410BAA">
        <w:rPr>
          <w:rFonts w:ascii="Times New Roman" w:hAnsi="Times New Roman" w:cs="Times New Roman"/>
          <w:sz w:val="28"/>
          <w:szCs w:val="28"/>
        </w:rPr>
        <w:t>енно.</w:t>
      </w:r>
    </w:p>
    <w:p w:rsidR="00636AE7" w:rsidRPr="00410BAA" w:rsidRDefault="00636AE7" w:rsidP="007B7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В </w:t>
      </w:r>
      <w:r w:rsidR="00A615D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410BAA">
        <w:rPr>
          <w:rFonts w:ascii="Times New Roman" w:hAnsi="Times New Roman" w:cs="Times New Roman"/>
          <w:sz w:val="28"/>
          <w:szCs w:val="28"/>
        </w:rPr>
        <w:t>представлен</w:t>
      </w:r>
      <w:r w:rsidR="00A615D3">
        <w:rPr>
          <w:rFonts w:ascii="Times New Roman" w:hAnsi="Times New Roman" w:cs="Times New Roman"/>
          <w:sz w:val="28"/>
          <w:szCs w:val="28"/>
        </w:rPr>
        <w:t>ными</w:t>
      </w:r>
      <w:r w:rsidRPr="00410BAA">
        <w:rPr>
          <w:rFonts w:ascii="Times New Roman" w:hAnsi="Times New Roman" w:cs="Times New Roman"/>
          <w:sz w:val="28"/>
          <w:szCs w:val="28"/>
        </w:rPr>
        <w:t xml:space="preserve"> </w:t>
      </w:r>
      <w:r w:rsidR="00C94B6F" w:rsidRPr="00410BAA">
        <w:rPr>
          <w:rFonts w:ascii="Times New Roman" w:hAnsi="Times New Roman" w:cs="Times New Roman"/>
          <w:sz w:val="28"/>
          <w:szCs w:val="28"/>
        </w:rPr>
        <w:t>расчёт</w:t>
      </w:r>
      <w:r w:rsidR="00A615D3">
        <w:rPr>
          <w:rFonts w:ascii="Times New Roman" w:hAnsi="Times New Roman" w:cs="Times New Roman"/>
          <w:sz w:val="28"/>
          <w:szCs w:val="28"/>
        </w:rPr>
        <w:t>ами</w:t>
      </w:r>
      <w:r w:rsidRPr="00410BAA">
        <w:rPr>
          <w:rFonts w:ascii="Times New Roman" w:hAnsi="Times New Roman" w:cs="Times New Roman"/>
          <w:sz w:val="28"/>
          <w:szCs w:val="28"/>
        </w:rPr>
        <w:t>, в том числе</w:t>
      </w:r>
      <w:r w:rsidR="00C94B6F" w:rsidRPr="00410BAA">
        <w:rPr>
          <w:rFonts w:ascii="Times New Roman" w:hAnsi="Times New Roman" w:cs="Times New Roman"/>
          <w:sz w:val="28"/>
          <w:szCs w:val="28"/>
        </w:rPr>
        <w:t xml:space="preserve"> </w:t>
      </w:r>
      <w:r w:rsidRPr="00410BAA">
        <w:rPr>
          <w:rFonts w:ascii="Times New Roman" w:hAnsi="Times New Roman" w:cs="Times New Roman"/>
          <w:sz w:val="28"/>
          <w:szCs w:val="28"/>
        </w:rPr>
        <w:t>на обеспечение функционирования и поддержки работоспособности пожарно-охранной сигнализации (техническое обслуживание)</w:t>
      </w:r>
      <w:r w:rsidR="00A615D3">
        <w:rPr>
          <w:rFonts w:ascii="Times New Roman" w:hAnsi="Times New Roman" w:cs="Times New Roman"/>
          <w:sz w:val="28"/>
          <w:szCs w:val="28"/>
        </w:rPr>
        <w:t xml:space="preserve"> </w:t>
      </w:r>
      <w:r w:rsidRPr="00410BAA">
        <w:rPr>
          <w:rFonts w:ascii="Times New Roman" w:hAnsi="Times New Roman" w:cs="Times New Roman"/>
          <w:sz w:val="28"/>
          <w:szCs w:val="28"/>
        </w:rPr>
        <w:t xml:space="preserve">период предоставления услуг составляет не 12 месяцев, а более короткие сроки, например, МБУ ДО «Детская музыкальная школа им. В.В. Андреева» 8,60 месяцев, </w:t>
      </w:r>
      <w:r w:rsidR="00EA3EDB" w:rsidRPr="00410BAA">
        <w:rPr>
          <w:rFonts w:ascii="Times New Roman" w:hAnsi="Times New Roman" w:cs="Times New Roman"/>
          <w:sz w:val="28"/>
          <w:szCs w:val="28"/>
        </w:rPr>
        <w:t xml:space="preserve">МБУК «Культурно-досуговый комплекс» 6,89 месяцев, </w:t>
      </w:r>
      <w:r w:rsidRPr="00410BAA">
        <w:rPr>
          <w:rFonts w:ascii="Times New Roman" w:hAnsi="Times New Roman" w:cs="Times New Roman"/>
          <w:sz w:val="28"/>
          <w:szCs w:val="28"/>
        </w:rPr>
        <w:t>МБУК «Городская библиотека» 5,29 месяцев, НГ МАУК «Историко-художественный музейный комплекс»</w:t>
      </w:r>
      <w:r w:rsidR="00331360" w:rsidRPr="00410BAA">
        <w:rPr>
          <w:rFonts w:ascii="Times New Roman" w:hAnsi="Times New Roman" w:cs="Times New Roman"/>
          <w:sz w:val="28"/>
          <w:szCs w:val="28"/>
        </w:rPr>
        <w:t xml:space="preserve"> 7,59 месяцев, Комитет культуры 11,11 месяцев.</w:t>
      </w:r>
    </w:p>
    <w:p w:rsidR="00EA3EDB" w:rsidRPr="00410BAA" w:rsidRDefault="00EA3EDB" w:rsidP="007B7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Кроме того, по МБУК «Культурно-досуговый комплекс» на обследование шкафа пожарного крана, перекатку пожарных рукавов, проверку на работоспособность внутреннего пожарного крана, опломбировку шкафа пожарного крана, проверку огнетушителей согласно коммерческим предложениям </w:t>
      </w:r>
      <w:r w:rsidR="00D22D46" w:rsidRPr="00410BA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10BAA">
        <w:rPr>
          <w:rFonts w:ascii="Times New Roman" w:hAnsi="Times New Roman" w:cs="Times New Roman"/>
          <w:sz w:val="28"/>
          <w:szCs w:val="28"/>
        </w:rPr>
        <w:t>42,674 тыс. рублей. При этом проектом изменений на указанное мероприятие планируется 21,260 тыс. рублей</w:t>
      </w:r>
      <w:r w:rsidR="00547AAE" w:rsidRPr="00410BAA">
        <w:rPr>
          <w:rFonts w:ascii="Times New Roman" w:hAnsi="Times New Roman" w:cs="Times New Roman"/>
          <w:sz w:val="28"/>
          <w:szCs w:val="28"/>
        </w:rPr>
        <w:t>.</w:t>
      </w:r>
    </w:p>
    <w:p w:rsidR="00C94B6F" w:rsidRPr="00410BAA" w:rsidRDefault="00C94B6F" w:rsidP="007B7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Учитывая вероятность угрозы причинения вреда жизни и здоровью людей, нанесению материального ущерба, рекомендуем предусмотреть бюджетные ассигнования на исполнение мероприятий по пожарно</w:t>
      </w:r>
      <w:r w:rsidR="00547AAE" w:rsidRPr="00410BAA">
        <w:rPr>
          <w:rFonts w:ascii="Times New Roman" w:hAnsi="Times New Roman" w:cs="Times New Roman"/>
          <w:sz w:val="28"/>
          <w:szCs w:val="28"/>
        </w:rPr>
        <w:t>й безопасности</w:t>
      </w:r>
      <w:r w:rsidRPr="00410BAA">
        <w:rPr>
          <w:rFonts w:ascii="Times New Roman" w:hAnsi="Times New Roman" w:cs="Times New Roman"/>
          <w:sz w:val="28"/>
          <w:szCs w:val="28"/>
        </w:rPr>
        <w:t xml:space="preserve"> в полном объёме;</w:t>
      </w:r>
    </w:p>
    <w:p w:rsidR="005C64EF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4) комитету физической культуры и спорта администрации города Нефтеюганска на 202</w:t>
      </w:r>
      <w:r w:rsidR="0093756D" w:rsidRPr="00410BAA">
        <w:rPr>
          <w:rFonts w:ascii="Times New Roman" w:hAnsi="Times New Roman" w:cs="Times New Roman"/>
          <w:sz w:val="28"/>
          <w:szCs w:val="28"/>
        </w:rPr>
        <w:t>3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410BAA">
        <w:rPr>
          <w:rFonts w:ascii="Times New Roman" w:hAnsi="Times New Roman" w:cs="Times New Roman"/>
          <w:sz w:val="28"/>
          <w:szCs w:val="28"/>
        </w:rPr>
        <w:t>30</w:t>
      </w:r>
      <w:r w:rsidRPr="00410BAA">
        <w:rPr>
          <w:rFonts w:ascii="Times New Roman" w:hAnsi="Times New Roman" w:cs="Times New Roman"/>
          <w:sz w:val="28"/>
          <w:szCs w:val="28"/>
        </w:rPr>
        <w:t xml:space="preserve"> годы в размере 1 373,200 тыс. рублей на каждый год соответственно</w:t>
      </w:r>
      <w:r w:rsidR="005C64EF" w:rsidRPr="00410BAA">
        <w:rPr>
          <w:rFonts w:ascii="Times New Roman" w:hAnsi="Times New Roman" w:cs="Times New Roman"/>
          <w:sz w:val="28"/>
          <w:szCs w:val="28"/>
        </w:rPr>
        <w:t>.</w:t>
      </w:r>
    </w:p>
    <w:p w:rsidR="005C64EF" w:rsidRPr="00410BAA" w:rsidRDefault="005C64EF" w:rsidP="007B7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C7">
        <w:rPr>
          <w:rFonts w:ascii="Times New Roman" w:hAnsi="Times New Roman" w:cs="Times New Roman"/>
          <w:sz w:val="28"/>
          <w:szCs w:val="28"/>
        </w:rPr>
        <w:t xml:space="preserve">По МБУ </w:t>
      </w:r>
      <w:proofErr w:type="spellStart"/>
      <w:r w:rsidRPr="002412C7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Pr="002412C7">
        <w:rPr>
          <w:rFonts w:ascii="Times New Roman" w:hAnsi="Times New Roman" w:cs="Times New Roman"/>
          <w:sz w:val="28"/>
          <w:szCs w:val="28"/>
        </w:rPr>
        <w:t xml:space="preserve"> «Жемчужина Югры» на техническ</w:t>
      </w:r>
      <w:r w:rsidR="002412C7" w:rsidRPr="002412C7">
        <w:rPr>
          <w:rFonts w:ascii="Times New Roman" w:hAnsi="Times New Roman" w:cs="Times New Roman"/>
          <w:sz w:val="28"/>
          <w:szCs w:val="28"/>
        </w:rPr>
        <w:t>ое</w:t>
      </w:r>
      <w:r w:rsidRPr="002412C7">
        <w:rPr>
          <w:rFonts w:ascii="Times New Roman" w:hAnsi="Times New Roman" w:cs="Times New Roman"/>
          <w:sz w:val="28"/>
          <w:szCs w:val="28"/>
        </w:rPr>
        <w:t xml:space="preserve"> </w:t>
      </w:r>
      <w:r w:rsidR="002412C7" w:rsidRPr="002412C7">
        <w:rPr>
          <w:rFonts w:ascii="Times New Roman" w:hAnsi="Times New Roman" w:cs="Times New Roman"/>
          <w:sz w:val="28"/>
          <w:szCs w:val="28"/>
        </w:rPr>
        <w:t>обслуживан</w:t>
      </w:r>
      <w:r w:rsidRPr="002412C7">
        <w:rPr>
          <w:rFonts w:ascii="Times New Roman" w:hAnsi="Times New Roman" w:cs="Times New Roman"/>
          <w:sz w:val="28"/>
          <w:szCs w:val="28"/>
        </w:rPr>
        <w:t>и</w:t>
      </w:r>
      <w:r w:rsidR="002412C7" w:rsidRPr="002412C7">
        <w:rPr>
          <w:rFonts w:ascii="Times New Roman" w:hAnsi="Times New Roman" w:cs="Times New Roman"/>
          <w:sz w:val="28"/>
          <w:szCs w:val="28"/>
        </w:rPr>
        <w:t>е</w:t>
      </w:r>
      <w:r w:rsidRPr="002412C7">
        <w:rPr>
          <w:rFonts w:ascii="Times New Roman" w:hAnsi="Times New Roman" w:cs="Times New Roman"/>
          <w:sz w:val="28"/>
          <w:szCs w:val="28"/>
        </w:rPr>
        <w:t xml:space="preserve"> систем противопожарной защиты согласно коммерческим предложениям </w:t>
      </w:r>
      <w:r w:rsidR="00A463F9" w:rsidRPr="002412C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412C7">
        <w:rPr>
          <w:rFonts w:ascii="Times New Roman" w:hAnsi="Times New Roman" w:cs="Times New Roman"/>
          <w:sz w:val="28"/>
          <w:szCs w:val="28"/>
        </w:rPr>
        <w:t>3 400,000 тыс. рублей. При этом проектом изменений на указанное мероприятие планируется 123,697 тыс. рублей.</w:t>
      </w:r>
    </w:p>
    <w:p w:rsidR="005C64EF" w:rsidRPr="00410BAA" w:rsidRDefault="005C64EF" w:rsidP="007B7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Учитывая вероятность угрозы причинения вреда жизни и здоровью людей, нанесению материального ущерба, рекомендуем предусмотреть бюджетные ассигнования на исполнение мероприятий по пожарной безопасности в полном объёме;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lastRenderedPageBreak/>
        <w:t>5) департаменту градостроительства и земельных отношений администрации города Нефтеюганска на 202</w:t>
      </w:r>
      <w:r w:rsidR="0093756D" w:rsidRPr="00410BAA">
        <w:rPr>
          <w:rFonts w:ascii="Times New Roman" w:hAnsi="Times New Roman" w:cs="Times New Roman"/>
          <w:sz w:val="28"/>
          <w:szCs w:val="28"/>
        </w:rPr>
        <w:t>3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410BAA">
        <w:rPr>
          <w:rFonts w:ascii="Times New Roman" w:hAnsi="Times New Roman" w:cs="Times New Roman"/>
          <w:sz w:val="28"/>
          <w:szCs w:val="28"/>
        </w:rPr>
        <w:t>30</w:t>
      </w:r>
      <w:r w:rsidRPr="00410BAA">
        <w:rPr>
          <w:rFonts w:ascii="Times New Roman" w:hAnsi="Times New Roman" w:cs="Times New Roman"/>
          <w:sz w:val="28"/>
          <w:szCs w:val="28"/>
        </w:rPr>
        <w:t xml:space="preserve"> годы в размере 1</w:t>
      </w:r>
      <w:r w:rsidR="001F3FB5" w:rsidRPr="00410BAA">
        <w:rPr>
          <w:rFonts w:ascii="Times New Roman" w:hAnsi="Times New Roman" w:cs="Times New Roman"/>
          <w:sz w:val="28"/>
          <w:szCs w:val="28"/>
        </w:rPr>
        <w:t>68,7</w:t>
      </w:r>
      <w:r w:rsidRPr="00410BAA">
        <w:rPr>
          <w:rFonts w:ascii="Times New Roman" w:hAnsi="Times New Roman" w:cs="Times New Roman"/>
          <w:sz w:val="28"/>
          <w:szCs w:val="28"/>
        </w:rPr>
        <w:t>00 тыс. рублей на каждый год соответственно;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6) департаменту жилищно-коммунального хозяйства администрации города Нефтеюганска (далее по тексту – ДЖКХ) на 202</w:t>
      </w:r>
      <w:r w:rsidR="0093756D" w:rsidRPr="00410BAA">
        <w:rPr>
          <w:rFonts w:ascii="Times New Roman" w:hAnsi="Times New Roman" w:cs="Times New Roman"/>
          <w:sz w:val="28"/>
          <w:szCs w:val="28"/>
        </w:rPr>
        <w:t>3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410BAA">
        <w:rPr>
          <w:rFonts w:ascii="Times New Roman" w:hAnsi="Times New Roman" w:cs="Times New Roman"/>
          <w:sz w:val="28"/>
          <w:szCs w:val="28"/>
        </w:rPr>
        <w:t>30</w:t>
      </w:r>
      <w:r w:rsidRPr="00410BAA">
        <w:rPr>
          <w:rFonts w:ascii="Times New Roman" w:hAnsi="Times New Roman" w:cs="Times New Roman"/>
          <w:sz w:val="28"/>
          <w:szCs w:val="28"/>
        </w:rPr>
        <w:t xml:space="preserve"> годы в размере </w:t>
      </w:r>
      <w:r w:rsidR="001F3FB5" w:rsidRPr="00410BAA">
        <w:rPr>
          <w:rFonts w:ascii="Times New Roman" w:hAnsi="Times New Roman" w:cs="Times New Roman"/>
          <w:sz w:val="28"/>
          <w:szCs w:val="28"/>
        </w:rPr>
        <w:t>431,300</w:t>
      </w:r>
      <w:r w:rsidRPr="00410BAA">
        <w:rPr>
          <w:rFonts w:ascii="Times New Roman" w:hAnsi="Times New Roman" w:cs="Times New Roman"/>
          <w:sz w:val="28"/>
          <w:szCs w:val="28"/>
        </w:rPr>
        <w:t xml:space="preserve"> тыс. рублей на каждый год соответственно;</w:t>
      </w:r>
    </w:p>
    <w:p w:rsidR="0030561D" w:rsidRPr="00410BAA" w:rsidRDefault="00347563" w:rsidP="007B7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0561D" w:rsidRPr="00410BAA">
        <w:rPr>
          <w:rFonts w:ascii="Times New Roman" w:hAnsi="Times New Roman" w:cs="Times New Roman"/>
          <w:sz w:val="28"/>
          <w:szCs w:val="28"/>
        </w:rPr>
        <w:t>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0561D" w:rsidRPr="00410BAA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561D" w:rsidRPr="00410BAA">
        <w:rPr>
          <w:rFonts w:ascii="Times New Roman" w:hAnsi="Times New Roman" w:cs="Times New Roman"/>
          <w:sz w:val="28"/>
          <w:szCs w:val="28"/>
        </w:rPr>
        <w:t xml:space="preserve"> расчёт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30561D" w:rsidRPr="00410BAA">
        <w:rPr>
          <w:rFonts w:ascii="Times New Roman" w:hAnsi="Times New Roman" w:cs="Times New Roman"/>
          <w:sz w:val="28"/>
          <w:szCs w:val="28"/>
        </w:rPr>
        <w:t>, в том числе на обеспечение функционирования и поддержки работоспособности пожарно-охранной сигнализации (техническое обслуживание)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61D" w:rsidRPr="00410BAA">
        <w:rPr>
          <w:rFonts w:ascii="Times New Roman" w:hAnsi="Times New Roman" w:cs="Times New Roman"/>
          <w:sz w:val="28"/>
          <w:szCs w:val="28"/>
        </w:rPr>
        <w:t>период предоставления услуг составляет не 12 месяцев, а более короткие сроки, например, МКУ «Единая дежурно-диспетчерская служба» 3 месяца, МКУ КХ «Служба единого заказчика» 11 месяцев.</w:t>
      </w:r>
    </w:p>
    <w:p w:rsidR="0030561D" w:rsidRPr="00410BAA" w:rsidRDefault="0030561D" w:rsidP="007B7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Кроме того, по МКУ КХ «Служба единого заказчика» на огнезащитную обработку деревянных конструкций чердачного помещения согласно</w:t>
      </w:r>
      <w:r w:rsidR="005504C7" w:rsidRPr="00410BAA">
        <w:rPr>
          <w:rFonts w:ascii="Times New Roman" w:hAnsi="Times New Roman" w:cs="Times New Roman"/>
          <w:sz w:val="28"/>
          <w:szCs w:val="28"/>
        </w:rPr>
        <w:t xml:space="preserve"> расчёту по</w:t>
      </w:r>
      <w:r w:rsidRPr="00410BAA">
        <w:rPr>
          <w:rFonts w:ascii="Times New Roman" w:hAnsi="Times New Roman" w:cs="Times New Roman"/>
          <w:sz w:val="28"/>
          <w:szCs w:val="28"/>
        </w:rPr>
        <w:t xml:space="preserve"> коммерческим предложениям </w:t>
      </w:r>
      <w:r w:rsidR="005504C7" w:rsidRPr="00410BAA">
        <w:rPr>
          <w:rFonts w:ascii="Times New Roman" w:hAnsi="Times New Roman" w:cs="Times New Roman"/>
          <w:sz w:val="28"/>
          <w:szCs w:val="28"/>
        </w:rPr>
        <w:t xml:space="preserve">необходимо 164,53233 тыс. рублей, </w:t>
      </w:r>
      <w:r w:rsidR="00EF34FD" w:rsidRPr="00410BAA">
        <w:rPr>
          <w:rFonts w:ascii="Times New Roman" w:hAnsi="Times New Roman" w:cs="Times New Roman"/>
          <w:sz w:val="28"/>
          <w:szCs w:val="28"/>
        </w:rPr>
        <w:t xml:space="preserve">на обследование шкафа пожарного крана, перекатку пожарных рукавов, проверку на работоспособность внутреннего пожарного крана, опломбировку шкафа пожарного крана </w:t>
      </w:r>
      <w:r w:rsidR="005504C7" w:rsidRPr="00410BAA">
        <w:rPr>
          <w:rFonts w:ascii="Times New Roman" w:hAnsi="Times New Roman" w:cs="Times New Roman"/>
          <w:sz w:val="28"/>
          <w:szCs w:val="28"/>
        </w:rPr>
        <w:t>26,800 тыс. рублей, на поверку и зарядку огнетушителей 15,01661</w:t>
      </w:r>
      <w:r w:rsidRPr="00410BAA">
        <w:rPr>
          <w:rFonts w:ascii="Times New Roman" w:hAnsi="Times New Roman" w:cs="Times New Roman"/>
          <w:sz w:val="28"/>
          <w:szCs w:val="28"/>
        </w:rPr>
        <w:t xml:space="preserve"> тыс. рублей. При этом проектом изменений на указанн</w:t>
      </w:r>
      <w:r w:rsidR="005504C7" w:rsidRPr="00410BAA">
        <w:rPr>
          <w:rFonts w:ascii="Times New Roman" w:hAnsi="Times New Roman" w:cs="Times New Roman"/>
          <w:sz w:val="28"/>
          <w:szCs w:val="28"/>
        </w:rPr>
        <w:t>ые</w:t>
      </w:r>
      <w:r w:rsidRPr="00410BA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504C7" w:rsidRPr="00410BAA">
        <w:rPr>
          <w:rFonts w:ascii="Times New Roman" w:hAnsi="Times New Roman" w:cs="Times New Roman"/>
          <w:sz w:val="28"/>
          <w:szCs w:val="28"/>
        </w:rPr>
        <w:t>я</w:t>
      </w:r>
      <w:r w:rsidRPr="00410BAA">
        <w:rPr>
          <w:rFonts w:ascii="Times New Roman" w:hAnsi="Times New Roman" w:cs="Times New Roman"/>
          <w:sz w:val="28"/>
          <w:szCs w:val="28"/>
        </w:rPr>
        <w:t xml:space="preserve"> </w:t>
      </w:r>
      <w:r w:rsidR="001450E0" w:rsidRPr="00410BAA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5504C7" w:rsidRPr="00410BAA">
        <w:rPr>
          <w:rFonts w:ascii="Times New Roman" w:hAnsi="Times New Roman" w:cs="Times New Roman"/>
          <w:sz w:val="28"/>
          <w:szCs w:val="28"/>
        </w:rPr>
        <w:t>146,72567</w:t>
      </w:r>
      <w:r w:rsidRPr="00410BA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504C7" w:rsidRPr="00410BAA">
        <w:rPr>
          <w:rFonts w:ascii="Times New Roman" w:hAnsi="Times New Roman" w:cs="Times New Roman"/>
          <w:sz w:val="28"/>
          <w:szCs w:val="28"/>
        </w:rPr>
        <w:t>, 23,46667 тыс. рублей, 14,620 тыс. рублей соответственно</w:t>
      </w:r>
      <w:r w:rsidRPr="00410BAA">
        <w:rPr>
          <w:rFonts w:ascii="Times New Roman" w:hAnsi="Times New Roman" w:cs="Times New Roman"/>
          <w:sz w:val="28"/>
          <w:szCs w:val="28"/>
        </w:rPr>
        <w:t>.</w:t>
      </w:r>
    </w:p>
    <w:p w:rsidR="0030561D" w:rsidRPr="00410BAA" w:rsidRDefault="0030561D" w:rsidP="007B7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Учитывая вероятность угрозы причинения вреда жизни и здоровью людей, нанесению материального ущерба, рекомендуем предусмотреть бюджетные ассигнования на исполнение мероприятий по пожарной безопасности в полном объёме;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7) департаменту муниципального имущества администрации города Нефтеюганска на 202</w:t>
      </w:r>
      <w:r w:rsidR="0093756D" w:rsidRPr="00410BAA">
        <w:rPr>
          <w:rFonts w:ascii="Times New Roman" w:hAnsi="Times New Roman" w:cs="Times New Roman"/>
          <w:sz w:val="28"/>
          <w:szCs w:val="28"/>
        </w:rPr>
        <w:t>3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410BAA">
        <w:rPr>
          <w:rFonts w:ascii="Times New Roman" w:hAnsi="Times New Roman" w:cs="Times New Roman"/>
          <w:sz w:val="28"/>
          <w:szCs w:val="28"/>
        </w:rPr>
        <w:t>30</w:t>
      </w:r>
      <w:r w:rsidR="001F3FB5" w:rsidRPr="00410BAA">
        <w:rPr>
          <w:rFonts w:ascii="Times New Roman" w:hAnsi="Times New Roman" w:cs="Times New Roman"/>
          <w:sz w:val="28"/>
          <w:szCs w:val="28"/>
        </w:rPr>
        <w:t xml:space="preserve"> годы в размере 9</w:t>
      </w:r>
      <w:r w:rsidRPr="00410BAA">
        <w:rPr>
          <w:rFonts w:ascii="Times New Roman" w:hAnsi="Times New Roman" w:cs="Times New Roman"/>
          <w:sz w:val="28"/>
          <w:szCs w:val="28"/>
        </w:rPr>
        <w:t>9,</w:t>
      </w:r>
      <w:r w:rsidR="001F3FB5" w:rsidRPr="00410BAA">
        <w:rPr>
          <w:rFonts w:ascii="Times New Roman" w:hAnsi="Times New Roman" w:cs="Times New Roman"/>
          <w:sz w:val="28"/>
          <w:szCs w:val="28"/>
        </w:rPr>
        <w:t>5</w:t>
      </w:r>
      <w:r w:rsidRPr="00410BAA">
        <w:rPr>
          <w:rFonts w:ascii="Times New Roman" w:hAnsi="Times New Roman" w:cs="Times New Roman"/>
          <w:sz w:val="28"/>
          <w:szCs w:val="28"/>
        </w:rPr>
        <w:t xml:space="preserve">00 тыс. рублей </w:t>
      </w:r>
      <w:r w:rsidR="001F3FB5" w:rsidRPr="00410BAA">
        <w:rPr>
          <w:rFonts w:ascii="Times New Roman" w:hAnsi="Times New Roman" w:cs="Times New Roman"/>
          <w:sz w:val="28"/>
          <w:szCs w:val="28"/>
        </w:rPr>
        <w:t>на каждый год соответственно.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3. Представленный проект изменений соответствует </w:t>
      </w:r>
      <w:r w:rsidR="006F2F6C" w:rsidRPr="00410BAA">
        <w:rPr>
          <w:rFonts w:ascii="Times New Roman" w:hAnsi="Times New Roman" w:cs="Times New Roman"/>
          <w:sz w:val="28"/>
          <w:szCs w:val="28"/>
        </w:rPr>
        <w:t>Порядку от 18.04.2019 № 77-нп</w:t>
      </w:r>
      <w:r w:rsidRPr="00410B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BAA" w:rsidRPr="00410BAA" w:rsidRDefault="00591F33" w:rsidP="007B7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4. </w:t>
      </w:r>
      <w:r w:rsidR="00410BAA" w:rsidRPr="00410BAA">
        <w:rPr>
          <w:rFonts w:ascii="Times New Roman" w:hAnsi="Times New Roman" w:cs="Times New Roman"/>
          <w:sz w:val="28"/>
          <w:szCs w:val="28"/>
        </w:rPr>
        <w:t>В остальном ф</w:t>
      </w:r>
      <w:r w:rsidRPr="00410BAA">
        <w:rPr>
          <w:rFonts w:ascii="Times New Roman" w:hAnsi="Times New Roman" w:cs="Times New Roman"/>
          <w:sz w:val="28"/>
          <w:szCs w:val="28"/>
        </w:rPr>
        <w:t>инансовые показатели, содержащиеся в проекте изменений, соответствуют расчётам, предоставленным на экспертизу</w:t>
      </w:r>
      <w:r w:rsidR="00410BAA" w:rsidRPr="00410BAA">
        <w:rPr>
          <w:rFonts w:ascii="Times New Roman" w:hAnsi="Times New Roman" w:cs="Times New Roman"/>
          <w:sz w:val="28"/>
          <w:szCs w:val="28"/>
        </w:rPr>
        <w:t>.</w:t>
      </w:r>
    </w:p>
    <w:p w:rsidR="001F3FB5" w:rsidRPr="00410BAA" w:rsidRDefault="001F3FB5" w:rsidP="007B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экспертизы, нео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рассмотреть рекомендации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заключении. Информацию о принятом решении направить в адрес Счётной палаты до </w:t>
      </w:r>
      <w:r w:rsid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1F3FB5" w:rsidRPr="00410BAA" w:rsidRDefault="001F3FB5" w:rsidP="007B7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33" w:rsidRPr="00410BAA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С.А. Гичкина</w:t>
      </w:r>
    </w:p>
    <w:p w:rsidR="00591F33" w:rsidRPr="00410BAA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 w:rsidR="00591F33" w:rsidRPr="00591F33" w:rsidRDefault="00591F33" w:rsidP="00591F33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Тел. 8 (3463) 203</w:t>
      </w:r>
      <w:r>
        <w:rPr>
          <w:rFonts w:ascii="Times New Roman" w:hAnsi="Times New Roman" w:cs="Times New Roman"/>
          <w:sz w:val="20"/>
          <w:szCs w:val="20"/>
        </w:rPr>
        <w:t>948</w:t>
      </w:r>
    </w:p>
    <w:sectPr w:rsidR="00591F33" w:rsidRPr="00591F33" w:rsidSect="007B7E56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DC" w:rsidRDefault="00271ADC" w:rsidP="0030765E">
      <w:pPr>
        <w:spacing w:after="0" w:line="240" w:lineRule="auto"/>
      </w:pPr>
      <w:r>
        <w:separator/>
      </w:r>
    </w:p>
  </w:endnote>
  <w:endnote w:type="continuationSeparator" w:id="0">
    <w:p w:rsidR="00271ADC" w:rsidRDefault="00271ADC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DC" w:rsidRDefault="00271ADC" w:rsidP="0030765E">
      <w:pPr>
        <w:spacing w:after="0" w:line="240" w:lineRule="auto"/>
      </w:pPr>
      <w:r>
        <w:separator/>
      </w:r>
    </w:p>
  </w:footnote>
  <w:footnote w:type="continuationSeparator" w:id="0">
    <w:p w:rsidR="00271ADC" w:rsidRDefault="00271ADC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316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019D8"/>
    <w:rsid w:val="00010B24"/>
    <w:rsid w:val="00016A50"/>
    <w:rsid w:val="00031F33"/>
    <w:rsid w:val="0004301B"/>
    <w:rsid w:val="00047BCC"/>
    <w:rsid w:val="00084CEC"/>
    <w:rsid w:val="00084D0D"/>
    <w:rsid w:val="000C6316"/>
    <w:rsid w:val="000D419E"/>
    <w:rsid w:val="000D43FF"/>
    <w:rsid w:val="000E1189"/>
    <w:rsid w:val="000E2165"/>
    <w:rsid w:val="000F61E1"/>
    <w:rsid w:val="00114CB5"/>
    <w:rsid w:val="00143A89"/>
    <w:rsid w:val="001450E0"/>
    <w:rsid w:val="00146CB1"/>
    <w:rsid w:val="00147801"/>
    <w:rsid w:val="00150DA9"/>
    <w:rsid w:val="00155D79"/>
    <w:rsid w:val="00160776"/>
    <w:rsid w:val="001635D6"/>
    <w:rsid w:val="00180D76"/>
    <w:rsid w:val="0019335D"/>
    <w:rsid w:val="001A694A"/>
    <w:rsid w:val="001A7583"/>
    <w:rsid w:val="001C7264"/>
    <w:rsid w:val="001E11BF"/>
    <w:rsid w:val="001E3711"/>
    <w:rsid w:val="001F3FB5"/>
    <w:rsid w:val="001F432A"/>
    <w:rsid w:val="00204968"/>
    <w:rsid w:val="00206EFC"/>
    <w:rsid w:val="002151BC"/>
    <w:rsid w:val="002412C7"/>
    <w:rsid w:val="002579D4"/>
    <w:rsid w:val="0026692B"/>
    <w:rsid w:val="00271ADC"/>
    <w:rsid w:val="002729B4"/>
    <w:rsid w:val="002802BE"/>
    <w:rsid w:val="00290BC5"/>
    <w:rsid w:val="002A1C50"/>
    <w:rsid w:val="002A42D4"/>
    <w:rsid w:val="002A66EF"/>
    <w:rsid w:val="002B00E8"/>
    <w:rsid w:val="002B59AC"/>
    <w:rsid w:val="002B63B5"/>
    <w:rsid w:val="002C7AE5"/>
    <w:rsid w:val="002F7DEB"/>
    <w:rsid w:val="0030561D"/>
    <w:rsid w:val="0030765E"/>
    <w:rsid w:val="003267B3"/>
    <w:rsid w:val="00327B0A"/>
    <w:rsid w:val="00331360"/>
    <w:rsid w:val="00347563"/>
    <w:rsid w:val="003838F2"/>
    <w:rsid w:val="00390BE0"/>
    <w:rsid w:val="003A2D54"/>
    <w:rsid w:val="003A59B5"/>
    <w:rsid w:val="003A6D2C"/>
    <w:rsid w:val="003B3FC8"/>
    <w:rsid w:val="003D7963"/>
    <w:rsid w:val="003E192D"/>
    <w:rsid w:val="003E57CF"/>
    <w:rsid w:val="003F0301"/>
    <w:rsid w:val="00410BAA"/>
    <w:rsid w:val="00415943"/>
    <w:rsid w:val="00420065"/>
    <w:rsid w:val="00422FBD"/>
    <w:rsid w:val="0047123F"/>
    <w:rsid w:val="00473D41"/>
    <w:rsid w:val="00496529"/>
    <w:rsid w:val="00496AD5"/>
    <w:rsid w:val="004C6C64"/>
    <w:rsid w:val="004D4F3E"/>
    <w:rsid w:val="004D7D3B"/>
    <w:rsid w:val="00506648"/>
    <w:rsid w:val="00510A56"/>
    <w:rsid w:val="0051190E"/>
    <w:rsid w:val="005232F8"/>
    <w:rsid w:val="00547AAE"/>
    <w:rsid w:val="005504C7"/>
    <w:rsid w:val="00550BD7"/>
    <w:rsid w:val="0055199E"/>
    <w:rsid w:val="0059149C"/>
    <w:rsid w:val="00591F33"/>
    <w:rsid w:val="005A204E"/>
    <w:rsid w:val="005B45EF"/>
    <w:rsid w:val="005C468E"/>
    <w:rsid w:val="005C64EF"/>
    <w:rsid w:val="005C7B57"/>
    <w:rsid w:val="005D698C"/>
    <w:rsid w:val="005E066B"/>
    <w:rsid w:val="005E4C19"/>
    <w:rsid w:val="005E7F5B"/>
    <w:rsid w:val="00601490"/>
    <w:rsid w:val="006276F9"/>
    <w:rsid w:val="006326F0"/>
    <w:rsid w:val="00636AE7"/>
    <w:rsid w:val="00640653"/>
    <w:rsid w:val="00657D98"/>
    <w:rsid w:val="006D109D"/>
    <w:rsid w:val="006D1FB8"/>
    <w:rsid w:val="006D2EA7"/>
    <w:rsid w:val="006E42F8"/>
    <w:rsid w:val="006F007D"/>
    <w:rsid w:val="006F2F6C"/>
    <w:rsid w:val="00723486"/>
    <w:rsid w:val="00725C15"/>
    <w:rsid w:val="00730431"/>
    <w:rsid w:val="00734AF0"/>
    <w:rsid w:val="00735E7F"/>
    <w:rsid w:val="00736907"/>
    <w:rsid w:val="007446BF"/>
    <w:rsid w:val="00772F82"/>
    <w:rsid w:val="007A0598"/>
    <w:rsid w:val="007B7E56"/>
    <w:rsid w:val="007B7F3E"/>
    <w:rsid w:val="007D7324"/>
    <w:rsid w:val="007E69FF"/>
    <w:rsid w:val="0081685F"/>
    <w:rsid w:val="00821C7B"/>
    <w:rsid w:val="0082417F"/>
    <w:rsid w:val="00827374"/>
    <w:rsid w:val="008360F8"/>
    <w:rsid w:val="008650D4"/>
    <w:rsid w:val="00872B1C"/>
    <w:rsid w:val="008A328F"/>
    <w:rsid w:val="008B1E6D"/>
    <w:rsid w:val="00903456"/>
    <w:rsid w:val="00904AB2"/>
    <w:rsid w:val="00906FA5"/>
    <w:rsid w:val="00922AAD"/>
    <w:rsid w:val="00923CEB"/>
    <w:rsid w:val="0093756D"/>
    <w:rsid w:val="0093780F"/>
    <w:rsid w:val="0096101F"/>
    <w:rsid w:val="009631F2"/>
    <w:rsid w:val="009837E2"/>
    <w:rsid w:val="00987B32"/>
    <w:rsid w:val="00992A17"/>
    <w:rsid w:val="009A4969"/>
    <w:rsid w:val="009B4251"/>
    <w:rsid w:val="009C0769"/>
    <w:rsid w:val="009C471D"/>
    <w:rsid w:val="009D5DB0"/>
    <w:rsid w:val="009E0995"/>
    <w:rsid w:val="00A04791"/>
    <w:rsid w:val="00A14461"/>
    <w:rsid w:val="00A44521"/>
    <w:rsid w:val="00A463F9"/>
    <w:rsid w:val="00A5007C"/>
    <w:rsid w:val="00A575A2"/>
    <w:rsid w:val="00A6099C"/>
    <w:rsid w:val="00A615D3"/>
    <w:rsid w:val="00A6263E"/>
    <w:rsid w:val="00A71FB0"/>
    <w:rsid w:val="00A83739"/>
    <w:rsid w:val="00AA600C"/>
    <w:rsid w:val="00AC4E0A"/>
    <w:rsid w:val="00AC55A5"/>
    <w:rsid w:val="00AD7727"/>
    <w:rsid w:val="00AE6F4B"/>
    <w:rsid w:val="00B06ECC"/>
    <w:rsid w:val="00B11C02"/>
    <w:rsid w:val="00B4461B"/>
    <w:rsid w:val="00B55341"/>
    <w:rsid w:val="00B71C85"/>
    <w:rsid w:val="00B771FE"/>
    <w:rsid w:val="00B83AA7"/>
    <w:rsid w:val="00B83AA8"/>
    <w:rsid w:val="00B876C9"/>
    <w:rsid w:val="00BD70E5"/>
    <w:rsid w:val="00BD7858"/>
    <w:rsid w:val="00C14949"/>
    <w:rsid w:val="00C1798E"/>
    <w:rsid w:val="00C25483"/>
    <w:rsid w:val="00C26358"/>
    <w:rsid w:val="00C60C16"/>
    <w:rsid w:val="00C65C80"/>
    <w:rsid w:val="00C718D6"/>
    <w:rsid w:val="00C83189"/>
    <w:rsid w:val="00C85449"/>
    <w:rsid w:val="00C94B6F"/>
    <w:rsid w:val="00C96666"/>
    <w:rsid w:val="00CB175A"/>
    <w:rsid w:val="00CB625B"/>
    <w:rsid w:val="00CC5E58"/>
    <w:rsid w:val="00D07356"/>
    <w:rsid w:val="00D07BD2"/>
    <w:rsid w:val="00D22D46"/>
    <w:rsid w:val="00D3597D"/>
    <w:rsid w:val="00D5204F"/>
    <w:rsid w:val="00D53C8B"/>
    <w:rsid w:val="00D75CE3"/>
    <w:rsid w:val="00D81CD7"/>
    <w:rsid w:val="00D962CD"/>
    <w:rsid w:val="00DA1C96"/>
    <w:rsid w:val="00DB7DEA"/>
    <w:rsid w:val="00DC62EC"/>
    <w:rsid w:val="00DD0A0B"/>
    <w:rsid w:val="00DE5D90"/>
    <w:rsid w:val="00DF0320"/>
    <w:rsid w:val="00E12721"/>
    <w:rsid w:val="00E15699"/>
    <w:rsid w:val="00E169A1"/>
    <w:rsid w:val="00E81DA0"/>
    <w:rsid w:val="00E822AB"/>
    <w:rsid w:val="00EA1799"/>
    <w:rsid w:val="00EA2DC6"/>
    <w:rsid w:val="00EA3EDB"/>
    <w:rsid w:val="00EF24A3"/>
    <w:rsid w:val="00EF34FD"/>
    <w:rsid w:val="00F0708C"/>
    <w:rsid w:val="00F12887"/>
    <w:rsid w:val="00F236C0"/>
    <w:rsid w:val="00F43533"/>
    <w:rsid w:val="00F733CB"/>
    <w:rsid w:val="00F82126"/>
    <w:rsid w:val="00FA7A66"/>
    <w:rsid w:val="00FE274C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937A3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6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-uga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2022-10-24T12:22:00Z</cp:lastPrinted>
  <dcterms:created xsi:type="dcterms:W3CDTF">2022-10-25T08:46:00Z</dcterms:created>
  <dcterms:modified xsi:type="dcterms:W3CDTF">2022-12-23T11:09:00Z</dcterms:modified>
</cp:coreProperties>
</file>