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D06D1" w:rsidRDefault="00CD06D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Pr="0066436F" w:rsidRDefault="00C633E1" w:rsidP="001B0A6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31593">
              <w:rPr>
                <w:sz w:val="28"/>
                <w:szCs w:val="28"/>
              </w:rPr>
              <w:t>Исх. СП-</w:t>
            </w:r>
            <w:r w:rsidR="001B0A66">
              <w:rPr>
                <w:sz w:val="28"/>
                <w:szCs w:val="28"/>
              </w:rPr>
              <w:t>801</w:t>
            </w:r>
            <w:r w:rsidRPr="00931593">
              <w:rPr>
                <w:sz w:val="28"/>
                <w:szCs w:val="28"/>
              </w:rPr>
              <w:t xml:space="preserve">-2 от </w:t>
            </w:r>
            <w:r w:rsidR="00931593" w:rsidRPr="00931593">
              <w:rPr>
                <w:sz w:val="28"/>
                <w:szCs w:val="28"/>
              </w:rPr>
              <w:t>21.11</w:t>
            </w:r>
            <w:r w:rsidRPr="00931593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931593" w:rsidRPr="007F27FE" w:rsidRDefault="00931593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88F" w:rsidRDefault="0094288F" w:rsidP="001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ЗАКЛЮЧЕНИЕ</w:t>
      </w:r>
      <w:r w:rsidR="001B0A66" w:rsidRPr="001B0A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1B0A66" w:rsidRPr="001B0A66" w:rsidRDefault="001B0A66" w:rsidP="001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 проект изменений муниципальной программы </w:t>
      </w:r>
    </w:p>
    <w:p w:rsidR="001B0A66" w:rsidRPr="001B0A66" w:rsidRDefault="001B0A66" w:rsidP="001B0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1B0A66" w:rsidRPr="001B0A66" w:rsidRDefault="001B0A66" w:rsidP="001B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B0A66" w:rsidRPr="001B0A66" w:rsidRDefault="001B0A66" w:rsidP="001B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B0A66" w:rsidRPr="001B0A66" w:rsidRDefault="001B0A66" w:rsidP="001B0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года»: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структурных элементов (основных мероприятий) целям муниципальной программы;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- сроков её реализации задачам;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Представленный проект изменений не соответствует Модельной программе, а именно: установлены несоответствия частей муниципальной программы друг </w:t>
      </w:r>
      <w:r w:rsidRPr="001B0A66">
        <w:rPr>
          <w:rFonts w:ascii="Times New Roman" w:eastAsia="Calibri" w:hAnsi="Times New Roman" w:cs="Times New Roman"/>
          <w:sz w:val="28"/>
          <w:szCs w:val="28"/>
        </w:rPr>
        <w:t>другу (нарушена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согласованность программных мероприятий по целям, задачам, мероприятиям, показателям, финансовым и иным ресурсам, и срокам реализации)</w:t>
      </w:r>
      <w:r w:rsidRPr="001B0A6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1B0A66" w:rsidRPr="001B0A66" w:rsidRDefault="001B0A66" w:rsidP="001B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2.1. Структурный элемент 3.2 «Реализация энергосберегающих мероприятий 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 системах наружного освещения и коммунальной инфраструктуры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» Таблицы 2 «Распределение финансовых ресурсов муниципальной программы «Развитие жилищно-коммунального комплекса и повышение энергетической эффективности в городе Нефтеюганске» (далее по тексту – таблица 2) содержит ссылки на целевые показатели № 10-13, которые фактически в таблице 1.2 «Целевые показатели в области энергосбережения и повышения энергетической эффективности по отраслям экономики (годовые*) «Развитие жилищно-коммунального комплекса и повышение энергетической эффективности в городе Нефтеюганске» (далее по тексту – таблица 1.2) относятся к целевым показателям в области энергосбережения и повышения энергетической эффективности в жилищном фонде.</w:t>
      </w:r>
    </w:p>
    <w:p w:rsidR="001B0A66" w:rsidRPr="001B0A66" w:rsidRDefault="001B0A66" w:rsidP="001B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Рекомендуем пересмотреть взаимосвязь целевых показателей со структурным элементом.</w:t>
      </w:r>
    </w:p>
    <w:p w:rsidR="001B0A66" w:rsidRPr="001B0A66" w:rsidRDefault="001B0A66" w:rsidP="001B0A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Структурный элемент 3.3 «Реализация энергосберегающих мероприятий 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 жилищном фонде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Таблицы 2 содержит ссылки на целевые показатели № 14-16, которые по таблице 1.2 относятся к реализации энергосберегающих мероприятий в 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системах коммунальной инфраструктуры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Рекомендуем пересмотреть взаимосвязь целевых показателей со структурным элементом.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2.3. По целевому показателю «Количество отремонтированных жилых помещений муниципального жилищного фонда в год, шт.» Таблицы 1.1. «Дополнительные целевые показатели муниципальной программы «Развитие жилищно-коммунального комплекса и повышение энергетической эффективности в городе Нефтеюганске» отсутствует взаимосвязь со структурным элементом Таблицы 2.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66">
        <w:rPr>
          <w:rFonts w:ascii="Times New Roman" w:eastAsia="Calibri" w:hAnsi="Times New Roman" w:cs="Times New Roman"/>
          <w:sz w:val="28"/>
          <w:szCs w:val="28"/>
        </w:rPr>
        <w:t>Рекомендуем установить взаимосвязь целевого показателя со структурным элементом.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66">
        <w:rPr>
          <w:rFonts w:ascii="Times New Roman" w:eastAsia="Calibri" w:hAnsi="Times New Roman" w:cs="Times New Roman"/>
          <w:sz w:val="28"/>
          <w:szCs w:val="28"/>
        </w:rPr>
        <w:t>2.4. В таблице 3 «Перечень структурных элементов (основных мероприятий) муниципальной программы» по структурному элементу 4.2 «Благоустройство и озеленение города»: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66">
        <w:rPr>
          <w:rFonts w:ascii="Times New Roman" w:eastAsia="Calibri" w:hAnsi="Times New Roman" w:cs="Times New Roman"/>
          <w:sz w:val="28"/>
          <w:szCs w:val="28"/>
        </w:rPr>
        <w:t xml:space="preserve">-не отражено направление расходов - субсидии на возмещение затрат НГ МУП «Универсал Сервис», связанных с капитальным ремонтом объектов </w:t>
      </w:r>
      <w:r w:rsidRPr="001B0A66">
        <w:rPr>
          <w:rFonts w:ascii="Times New Roman" w:eastAsia="Calibri" w:hAnsi="Times New Roman" w:cs="Times New Roman"/>
          <w:sz w:val="28"/>
          <w:szCs w:val="28"/>
        </w:rPr>
        <w:lastRenderedPageBreak/>
        <w:t>уличного и дворового освещения города Нефтеюганска, предусмотренные к предоставлению из местного бюджета в 2023 году;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66">
        <w:rPr>
          <w:rFonts w:ascii="Times New Roman" w:eastAsia="Calibri" w:hAnsi="Times New Roman" w:cs="Times New Roman"/>
          <w:sz w:val="28"/>
          <w:szCs w:val="28"/>
        </w:rPr>
        <w:t>- предусмотрено направление расходов – строительство объекта «Городской парк на территории 4 микрорайона в городе Нефтеюганске», при этом финансовые средства для строительства объекта в бюджете на 2022-2030 годы отсутствуют.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Рекомендуем устранить несоответствие.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Проектом изменений планируется: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3.1. Внести изменения в значения целевых показателей, указанных в таблицах: 1.1, 1.2.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Планируется исключить целевые показатели:</w:t>
      </w:r>
    </w:p>
    <w:p w:rsidR="001B0A66" w:rsidRPr="001B0A66" w:rsidRDefault="001B0A66" w:rsidP="001B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-удельный расход топлива на выработку тепловой энергии на тепловых электростанциях, т </w:t>
      </w:r>
      <w:proofErr w:type="spellStart"/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у.т</w:t>
      </w:r>
      <w:proofErr w:type="spellEnd"/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./млн. Гкал;</w:t>
      </w:r>
    </w:p>
    <w:p w:rsidR="001B0A66" w:rsidRPr="001B0A66" w:rsidRDefault="001B0A66" w:rsidP="001B0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доля объема энергетических ресурсов, производимых с использованием возобновляемых источников энергии и (или) вторичных энергетических </w:t>
      </w:r>
    </w:p>
    <w:p w:rsidR="001B0A66" w:rsidRPr="001B0A66" w:rsidRDefault="001B0A66" w:rsidP="001B0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ресурсов, в общем объеме энергетических ресурсов, производимых на территории муниципального образования, %.</w:t>
      </w:r>
    </w:p>
    <w:p w:rsidR="001B0A66" w:rsidRPr="001B0A66" w:rsidRDefault="001B0A66" w:rsidP="001B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Также, планируется включить новый показатель:</w:t>
      </w:r>
    </w:p>
    <w:p w:rsidR="001B0A66" w:rsidRPr="001B0A66" w:rsidRDefault="001B0A66" w:rsidP="001B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- обеспечение отсутствия просроченной (один и более месяца) задолженности за потребленные топливно-энергетические ресурсы, да/нет.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Таблице 2: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3.2.1. Планируется уменьшить объём финансирования в 2022 год на общую сумму 14 832,59793 тыс. рублей, в том числе: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3.2.1.1. По мероприятию 1.1 «Реконструкция, расширение, модернизация, строительство коммунальных объектов, в том числе объектов питьевого водоснабжения» по соисполнителю департаменту градостроительства и земельных отношений администрации города Нефтеюганска уменьшить расходы за счёт средств местного бюджета в связи с экономией по проведенным торгам и фактическому исполнению по объекту «Напорный канализационный коллектор вдоль ул. Набережная с канализационной насосной станцией, расположенной в 17 микрорайоне, по адресу г. Нефтеюганск, 17 микрорайон» в сумме 1 053,76300 тыс. рублей.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3.2.1.2. По мероприятию 1.2 «Предоставление субсидий организациям коммунального комплекса, предоставляющим коммунальные услуги населению» по ответственному исполнителю департаменту жилищно-коммунального хозяйства администрации города Нефтеюганска (далее по тексту – ДЖКХ) увеличить расходы за счёт средств местного бюджета в сумме 3 351,61700 тыс. рублей, из них: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0A66" w:rsidRPr="001B0A66" w:rsidRDefault="001B0A66" w:rsidP="001B0A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 в сумме 782,51000 тыс. рублей. В качестве финансово-экономического обоснования предоставлен расчёт фактического размера субсидии на возмещение недополученных доходов в связи с предоставлением населению бытовых услуг (баня) на территории города Нефтеюганска по тарифам, не обеспечивающим возмещение издержек за 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 с января по сентябрь 2022 года и оценка потребности до конца 2022 года, согласно которому потребность дополнительных средств составляет 984,10092 тыс. рублей, что больше на 201,59092 тыс. рублей, чем предусмотрено проектом изменений в муниципальную программу. Рекомендуем оценить реалистичность исполнения мероприятия при планируемых бюджетных ассигнованиях; </w:t>
      </w:r>
    </w:p>
    <w:p w:rsidR="001B0A66" w:rsidRPr="001B0A66" w:rsidRDefault="001B0A66" w:rsidP="001B0A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1B0A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2 569,10700 тыс. рублей.</w:t>
      </w:r>
      <w:r w:rsidRPr="001B0A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3.2.1.3. По основному мероприятию 1.4 «Региональный проект «Чистая вода» по соисполнителю департаменту градостроительства и земельных отношений администрации города Нефтеюганска уменьшить финансовое обеспечение за счёт средств местного бюджета в связи с экономией по проведенным торгам и фактическому исполнению по объекту «Фильтровальная станция производительностью 20000 м</w:t>
      </w:r>
      <w:r w:rsidRPr="001B0A6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сутки, ХМАО-Югра, г. Нефтеюганск, 7 микрорайон (станция ВОС)» в сумме 15 573,52500 тыс. рублей.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3.2.1.4. По мероприятию 2.1 «Поддержка технического состояния жилищного фонда» по ответственному исполнителю ДЖКХ увеличить расходы за счёт средств местного бюджета на выполнение ремонтно-восстановительных работ в жилых помещениях на территории города Нефтеюганска в сумме 624,80900 тыс. рублей.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3.2.1.5. По мероприятию 4.2 «Благоустройство и озеленение города» по ответственному исполнителю ДЖКХ уменьшить расходы в связи с экономией, сложившейся по итогам проведённых конкурсных процедур и факту выполненных работ в общей сумме 6 870,15100 тыс. рублей по следующим расходам: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субсидии на возмещение затрат по организации уличного, дворового освещения и иллюминации в г. Нефтеюганске (с учетом затрат на оплату электрической энергии, потребляемой объектами уличного, дворового освещения и иллюминации г. Нефтеюганска) в сумме 3 351,61700 тыс. рублей;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устройство ледового городка в сумме 1 068,750 тыс. рублей;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поставка новогодней иллюминации в сумме 2 449,78400 тыс. рублей.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3.2.1.6. По основному мероприятию 4.6 «Региональный проект «Комплексная система обращения с твердыми коммунальными отходами» по ответственному исполнителю 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ДЖКХ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бюджетные ассигнования на поставку контейнеров в сумме 4 688,41507 тыс. рублей, из них:</w:t>
      </w:r>
      <w:r w:rsidRPr="001B0A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- 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бюджета Ханты-Мансийского автономного округа – Югры бюджетам на закупку контейнеров для раздельного накопления твердых коммунальных отходов</w:t>
      </w:r>
      <w:r w:rsidRPr="001B0A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4 641,53007 тыс. рублей, в том числе за счёт:</w:t>
      </w:r>
      <w:r w:rsidRPr="001B0A6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 в сумме 1 810,19673 тыс. рублей, бюджета автономного округа в сумме 2 831,33334 тыс. рублей;</w:t>
      </w:r>
    </w:p>
    <w:p w:rsidR="001B0A66" w:rsidRPr="001B0A66" w:rsidRDefault="001B0A66" w:rsidP="001B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доля софинансирования местного бюджета в сумме 46,88500 тыс. рублей.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Финансово-экономическое обоснование расходов предоставлено на сумму 4 462,23421 тыс. рублей, что на сумму 226,18086 тыс. рублей меньше, чем предусмотрено проектом изменений.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Рекомендуем осуществить возврат документально неподтверждённого объёма субсидии в бюджет автономного округа.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3.2.1. Планируется уменьшить объём финансирования на плановый период с 2023 до 2030 года общую сумму 26 261,80000 тыс. рублей, в том числе: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2023 год в общей сумме 6 290,20000 тыс. рублей, в том числе за счёт: средств бюджета автономного округа в сумме 4 283,20000 тыс. рублей, за счёт средств местного бюджета в сумме 2 007,00000 тыс. рублей;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2024 год в общей сумме 7 583,90000 тыс. рублей, в том числе за счёт: средств бюджета автономного округа в сумме 4 673,40000 тыс. рублей, за счёт средств местного бюджета в сумме 2 910,50000 тыс. рублей;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 2025 год в общей сумме 7 458,20000 тыс. рублей, в том числе за счёт: средств бюджета автономного округа в сумме 4 590,80000 тыс. рублей, за счёт средств местного бюджета в сумме 2 867,40000 тыс. рублей; 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 2026 год и до 2030 года за счёт средств местного бюджета в сумме             4 929,50000 тыс. рублей.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2023, 2024 и 2025 годы.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3.2.1.1. По основному мероприятию 4.1 «Улучшение санитарного состояния городских территорий» по ответственному исполнителю ДЖКХ увеличить расходы в общей сумме 30,40000 тыс. рублей в связи с корректировкой планируемых межбюджетных трансфертов, в том числе:</w:t>
      </w:r>
    </w:p>
    <w:p w:rsidR="001B0A66" w:rsidRPr="001B0A66" w:rsidRDefault="001B0A66" w:rsidP="001B0A6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уменьшить расходы за счёт субвенции из бюджета автономного округа на организацию мероприятий при осуществлении деятельности по обращению с животными без владельцев в общей сумме 1,00000 тыс. рублей, из них: на 2023 год 0,40000 тыс. рублей, на 2024 год 0,60000 тыс. рублей;</w:t>
      </w:r>
    </w:p>
    <w:p w:rsidR="001B0A66" w:rsidRPr="001B0A66" w:rsidRDefault="001B0A66" w:rsidP="001B0A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расходы за счёт субвенции из бюджета автономного округа на осуществление отдельных государственных полномочий Ханты-Мансийского автономного округа-Югры в сфере обращения с твердыми коммунальными отходами в общей сумме 31,40000 тыс. рублей, из них: на 2023 год 8,30000 тыс. рублей, на 2024 год 23,10000 тыс. рублей.</w:t>
      </w:r>
    </w:p>
    <w:p w:rsidR="001B0A66" w:rsidRPr="001B0A66" w:rsidRDefault="001B0A66" w:rsidP="001B0A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3.2.1.2. По основному мероприятию 4.4 «Региональный проект «Формирование комфортной городской среды» по ответственному исполнителю ДЖКХ уменьшить расходы на выполнение работ по комплексному благоустройству территорий в общей сумме 19 142,50000 тыс. рублей в связи с корректировкой планируемых межбюджетных трансфертов, в том числе:</w:t>
      </w:r>
    </w:p>
    <w:p w:rsidR="001B0A66" w:rsidRPr="001B0A66" w:rsidRDefault="001B0A66" w:rsidP="001B0A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субсидии на реализацию программ формирования современной городской среды за счёт средств бюджета автономного округа в сумме                           13 577,80000 тыс. рублей, в том числе: в 2023 году 4 291,10000 тыс. рублей, в 2024 году 4 695,90000 тыс. рублей, в 2025 году 4 590,80000 тыс. рублей;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B0A66" w:rsidRPr="001B0A66" w:rsidRDefault="001B0A66" w:rsidP="001B0A6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доля софинансирования местного бюджета в сумме 5 564,70000 тыс. рублей, в том числе: в 2023 году 1 758,60000 тыс. рублей, в 2024 году –                    1 924,60000 тыс. рублей, в 2025 году 1 881,50000 тыс. рублей.</w:t>
      </w:r>
    </w:p>
    <w:p w:rsidR="001B0A66" w:rsidRPr="001B0A66" w:rsidRDefault="001B0A66" w:rsidP="001B0A66">
      <w:pPr>
        <w:keepLines/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3.2.1.2. По основному мероприятию 5.1 «Организационное обеспечение функционирования отрасли» по ответственному исполнителю </w:t>
      </w:r>
      <w:r w:rsidRPr="001B0A66">
        <w:rPr>
          <w:rFonts w:ascii="Times New Roman" w:eastAsia="Calibri" w:hAnsi="Times New Roman" w:cs="Times New Roman"/>
          <w:color w:val="000000"/>
          <w:sz w:val="28"/>
          <w:szCs w:val="28"/>
        </w:rPr>
        <w:t>ДЖКХ</w:t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планируются уменьшить расходы за счёт средств местного бюджета в связи с уменьшением планового процента увеличения заработной платы с 01 октября 2023 года с 6,1 % до 5,5 % в общей сумме 2 220,20000 тыс. рублей, в том числе: на 2023 год 248,40000 тыс. рублей, на 2024 год 985,90000 тыс. рублей, в 2025 год 985,90000 тыс. рублей, в том числе:</w:t>
      </w:r>
    </w:p>
    <w:tbl>
      <w:tblPr>
        <w:tblW w:w="96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19"/>
        <w:gridCol w:w="1396"/>
        <w:gridCol w:w="1501"/>
        <w:gridCol w:w="1571"/>
      </w:tblGrid>
      <w:tr w:rsidR="001B0A66" w:rsidRPr="001B0A66" w:rsidTr="002E5A35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 xml:space="preserve">№ / №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5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Финансовые затраты, в тыс. рублей</w:t>
            </w:r>
          </w:p>
        </w:tc>
      </w:tr>
      <w:tr w:rsidR="001B0A66" w:rsidRPr="001B0A66" w:rsidTr="002E5A35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</w:tr>
      <w:tr w:rsidR="001B0A66" w:rsidRPr="001B0A66" w:rsidTr="002E5A35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органов местного самоуправления (Содержание аппарата </w:t>
            </w:r>
            <w:r w:rsidRPr="001B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ДЖКХ</w:t>
            </w: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-609,00000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-67,60000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-270,70000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-270,70000</w:t>
            </w:r>
          </w:p>
        </w:tc>
      </w:tr>
      <w:tr w:rsidR="001B0A66" w:rsidRPr="001B0A66" w:rsidTr="002E5A35">
        <w:trPr>
          <w:trHeight w:val="76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учреждений, в том числе: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-1 611,20000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-180,80000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-715,20000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-715,20000</w:t>
            </w:r>
          </w:p>
        </w:tc>
      </w:tr>
      <w:tr w:rsidR="001B0A66" w:rsidRPr="001B0A66" w:rsidTr="002E5A35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МКУ «ЕДДС» города Нефтеюганска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-207,60000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-23,00000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-92,30000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-92,30000</w:t>
            </w:r>
          </w:p>
        </w:tc>
      </w:tr>
      <w:tr w:rsidR="001B0A66" w:rsidRPr="001B0A66" w:rsidTr="002E5A35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Расходы на содержание НГ МКУ КХ «Служба единого заказчика»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-1 056,80000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-119,20000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-468,80000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-468,80000</w:t>
            </w:r>
          </w:p>
        </w:tc>
      </w:tr>
      <w:tr w:rsidR="001B0A66" w:rsidRPr="001B0A66" w:rsidTr="002E5A35">
        <w:trPr>
          <w:trHeight w:val="4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содержание МКУ «Реквием»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-346,80000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-38,60000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-154,10000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-154,10000</w:t>
            </w:r>
          </w:p>
        </w:tc>
      </w:tr>
      <w:tr w:rsidR="001B0A66" w:rsidRPr="001B0A66" w:rsidTr="002E5A35">
        <w:trPr>
          <w:trHeight w:val="30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-2 220,20000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-248,40000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-985,90000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66" w:rsidRPr="001B0A66" w:rsidRDefault="001B0A66" w:rsidP="001B0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0A66">
              <w:rPr>
                <w:rFonts w:ascii="Times New Roman" w:eastAsia="Times New Roman" w:hAnsi="Times New Roman" w:cs="Times New Roman"/>
                <w:lang w:eastAsia="ru-RU"/>
              </w:rPr>
              <w:t>-985,90000</w:t>
            </w:r>
          </w:p>
        </w:tc>
      </w:tr>
    </w:tbl>
    <w:p w:rsidR="001B0A66" w:rsidRPr="001B0A66" w:rsidRDefault="001B0A66" w:rsidP="001B0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B0A66" w:rsidRPr="001B0A66" w:rsidRDefault="001B0A66" w:rsidP="001B0A6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отраженных в настоящем заключении. </w:t>
      </w:r>
    </w:p>
    <w:p w:rsidR="001B0A66" w:rsidRPr="001B0A66" w:rsidRDefault="001B0A66" w:rsidP="001B0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Информацию о решениях, принятых по результатам настоящей экспертизы, направить в адрес Счётной палаты до 25.11.2022 года.</w:t>
      </w:r>
    </w:p>
    <w:p w:rsidR="001B0A66" w:rsidRPr="001B0A66" w:rsidRDefault="001B0A66" w:rsidP="001B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66" w:rsidRPr="001B0A66" w:rsidRDefault="001B0A66" w:rsidP="001B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66" w:rsidRPr="001B0A66" w:rsidRDefault="001B0A66" w:rsidP="001B0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A66" w:rsidRPr="001B0A66" w:rsidRDefault="001B0A66" w:rsidP="001B0A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0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Гичкина</w:t>
      </w: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P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B0A66" w:rsidRP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B0A66" w:rsidRP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 инспекторского отдела № 2</w:t>
      </w:r>
    </w:p>
    <w:p w:rsidR="001B0A66" w:rsidRP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Счётной палаты города Нефтеюганска</w:t>
      </w:r>
    </w:p>
    <w:p w:rsid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Салахова Дина Ирековна </w:t>
      </w:r>
    </w:p>
    <w:p w:rsidR="001B0A66" w:rsidRPr="001B0A66" w:rsidRDefault="001B0A66" w:rsidP="001B0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1B0A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 8 (3463) 203065</w:t>
      </w:r>
    </w:p>
    <w:p w:rsidR="001B0A66" w:rsidRPr="001E3ADE" w:rsidRDefault="001B0A66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0A66" w:rsidRPr="001E3ADE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4E1"/>
    <w:rsid w:val="00024016"/>
    <w:rsid w:val="00025938"/>
    <w:rsid w:val="000408EC"/>
    <w:rsid w:val="00073330"/>
    <w:rsid w:val="00084D0D"/>
    <w:rsid w:val="000B11B8"/>
    <w:rsid w:val="000C5EFA"/>
    <w:rsid w:val="000E267F"/>
    <w:rsid w:val="000F2149"/>
    <w:rsid w:val="00133376"/>
    <w:rsid w:val="001472CE"/>
    <w:rsid w:val="001857A2"/>
    <w:rsid w:val="001B0A66"/>
    <w:rsid w:val="001B6734"/>
    <w:rsid w:val="001D3812"/>
    <w:rsid w:val="001E3ADE"/>
    <w:rsid w:val="0021657A"/>
    <w:rsid w:val="0028435C"/>
    <w:rsid w:val="002910C1"/>
    <w:rsid w:val="0029612C"/>
    <w:rsid w:val="002B1426"/>
    <w:rsid w:val="002D6E4E"/>
    <w:rsid w:val="002E3DBD"/>
    <w:rsid w:val="00312B7C"/>
    <w:rsid w:val="00313316"/>
    <w:rsid w:val="00321A59"/>
    <w:rsid w:val="003521F9"/>
    <w:rsid w:val="003529E9"/>
    <w:rsid w:val="00371BC4"/>
    <w:rsid w:val="00382B6D"/>
    <w:rsid w:val="003C5D4F"/>
    <w:rsid w:val="003E05C8"/>
    <w:rsid w:val="00401FC3"/>
    <w:rsid w:val="00431EF8"/>
    <w:rsid w:val="00470B11"/>
    <w:rsid w:val="00492041"/>
    <w:rsid w:val="004979C3"/>
    <w:rsid w:val="004A2849"/>
    <w:rsid w:val="004D41FF"/>
    <w:rsid w:val="00514867"/>
    <w:rsid w:val="005734DE"/>
    <w:rsid w:val="00601DE0"/>
    <w:rsid w:val="0062067E"/>
    <w:rsid w:val="00640920"/>
    <w:rsid w:val="00647D22"/>
    <w:rsid w:val="0066436F"/>
    <w:rsid w:val="006B1C56"/>
    <w:rsid w:val="006B316E"/>
    <w:rsid w:val="006D316D"/>
    <w:rsid w:val="006E79BB"/>
    <w:rsid w:val="006F6364"/>
    <w:rsid w:val="006F7614"/>
    <w:rsid w:val="007A05D6"/>
    <w:rsid w:val="007E4458"/>
    <w:rsid w:val="007E5D52"/>
    <w:rsid w:val="007F27FE"/>
    <w:rsid w:val="0081097D"/>
    <w:rsid w:val="00817832"/>
    <w:rsid w:val="008256E0"/>
    <w:rsid w:val="00846C12"/>
    <w:rsid w:val="0085599E"/>
    <w:rsid w:val="00862877"/>
    <w:rsid w:val="008634DE"/>
    <w:rsid w:val="00865C2B"/>
    <w:rsid w:val="00870CFD"/>
    <w:rsid w:val="00890EB7"/>
    <w:rsid w:val="008A7BA4"/>
    <w:rsid w:val="008D6A0E"/>
    <w:rsid w:val="00925848"/>
    <w:rsid w:val="00931593"/>
    <w:rsid w:val="0094288F"/>
    <w:rsid w:val="009D5F69"/>
    <w:rsid w:val="00A13657"/>
    <w:rsid w:val="00A520C1"/>
    <w:rsid w:val="00A71E62"/>
    <w:rsid w:val="00A72BA4"/>
    <w:rsid w:val="00A95D12"/>
    <w:rsid w:val="00AB2C08"/>
    <w:rsid w:val="00AD6F01"/>
    <w:rsid w:val="00AF35EE"/>
    <w:rsid w:val="00AF4CE3"/>
    <w:rsid w:val="00B0132F"/>
    <w:rsid w:val="00B2042A"/>
    <w:rsid w:val="00B53D0E"/>
    <w:rsid w:val="00B647C8"/>
    <w:rsid w:val="00B90F2A"/>
    <w:rsid w:val="00BB1905"/>
    <w:rsid w:val="00BB71E7"/>
    <w:rsid w:val="00BC1196"/>
    <w:rsid w:val="00C633E1"/>
    <w:rsid w:val="00C65A50"/>
    <w:rsid w:val="00C77770"/>
    <w:rsid w:val="00C937C0"/>
    <w:rsid w:val="00C94E04"/>
    <w:rsid w:val="00C96666"/>
    <w:rsid w:val="00CD06D1"/>
    <w:rsid w:val="00CD63A4"/>
    <w:rsid w:val="00D05A94"/>
    <w:rsid w:val="00D13BE8"/>
    <w:rsid w:val="00D407A9"/>
    <w:rsid w:val="00D61FC3"/>
    <w:rsid w:val="00D824DB"/>
    <w:rsid w:val="00E1615B"/>
    <w:rsid w:val="00E2585F"/>
    <w:rsid w:val="00E70149"/>
    <w:rsid w:val="00E86354"/>
    <w:rsid w:val="00ED1BAC"/>
    <w:rsid w:val="00F41499"/>
    <w:rsid w:val="00FC2ADC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25F3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2022-11-21T08:36:00Z</cp:lastPrinted>
  <dcterms:created xsi:type="dcterms:W3CDTF">2022-12-23T12:12:00Z</dcterms:created>
  <dcterms:modified xsi:type="dcterms:W3CDTF">2022-12-23T12:13:00Z</dcterms:modified>
</cp:coreProperties>
</file>