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3" w:rsidRPr="00CE6673" w:rsidRDefault="00CE6673" w:rsidP="00CE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67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52475" cy="933450"/>
            <wp:effectExtent l="0" t="0" r="9525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73" w:rsidRPr="00CE6673" w:rsidRDefault="00CE6673" w:rsidP="00CE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66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CE6673" w:rsidRPr="00CE6673" w:rsidRDefault="00CE6673" w:rsidP="00CE6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6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E6673" w:rsidRP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E66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E6673" w:rsidRPr="00CE6673" w:rsidRDefault="00CE6673" w:rsidP="00CE66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</w:t>
      </w:r>
      <w:r w:rsidRPr="00CE667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29.07.2022                                                                                                     № 36-П</w:t>
      </w:r>
    </w:p>
    <w:p w:rsidR="00CE6673" w:rsidRPr="00CE6673" w:rsidRDefault="00CE6673" w:rsidP="00CE66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x-none" w:eastAsia="x-none"/>
        </w:rPr>
      </w:pPr>
    </w:p>
    <w:p w:rsidR="00CE6673" w:rsidRPr="00CE6673" w:rsidRDefault="00CE6673" w:rsidP="00CE667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x-none"/>
        </w:rPr>
      </w:pPr>
      <w:r w:rsidRPr="00CE66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 утверждении </w:t>
      </w:r>
      <w:r w:rsidRPr="00CE667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нормативных затрат на обеспечение функций Думы города Нефтеюганска на 2023 год    </w:t>
      </w:r>
    </w:p>
    <w:p w:rsidR="00CE6673" w:rsidRPr="00CE6673" w:rsidRDefault="00CE6673" w:rsidP="00CE66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нормативные затраты на обеспечение функций Думы города Нефтеюганска на 2023 год: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услуги связи согласно приложению 1.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приобретение услуг по сопровождению программного обеспечения и предоставления права на использование программного обеспечения согласно приложению 2.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приобретение основных средств, относящихся к информационно-коммуникационным технологиям согласно приложению 3.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приобретение магнитных и оптических носителей информации согласно приложению 4.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 приобретение расходных материалов для принтеров, многофункциональных устройств и копировальных аппаратов (оргтехники) согласно приложению 5.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 услуги почтовой и телеграфной связи согласно приложению 6.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На услуги кабельного телевидения согласно приложению 7.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приобретение офисной мебели согласно приложению 8.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приобретение прочей продукции, изготовляемой типографией согласно приложению 9.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На приобретение прочей продукции, подарочной сувенирной согласно приложению 10.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На приобретение канцелярских товаров согласно приложению 11.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На приобретение бумаги для принтеров и копировальной техники согласно приложению 12.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На приобретение воды питьевой бутилированной негазированной согласно приложению 13.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По расходам на содержание имущества согласно приложению 14.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На оказание услуг по восстановлению и ремонту техники согласно приложению 15.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На оказание услуг по прохождению диспансеризации и периодического медицинского осмотра согласно приложению 16.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На оказание услуг по организации курсов повышения квалификации, семинаров, конференций, веб-семинаров и прочих образовательных услуг для муниципальных служащих согласно приложению 17. 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На оказание услуг по страхованию жизни, здоровья, имущества согласно приложению 18.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1.19. На оказание услуг по техническому обслуживанию и выполнению работ по ремонту вычислительной техники, принтеров, МФУ, копировальных аппаратов и иной оргтехники согласно приложению 19.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1.20. На оказание услуг по утилизации архива, оргтехники и мебели согласно приложению 20.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1.21. По охране труда согласно приложению 21.</w:t>
      </w:r>
    </w:p>
    <w:p w:rsidR="00CE6673" w:rsidRPr="00CE6673" w:rsidRDefault="00CE6673" w:rsidP="00CE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1.22. На приобретение запасных частей (деталей) для содержания вычислительной техники, принтеров, МФУ, копировальных аппаратов и иной оргтехники.</w:t>
      </w:r>
    </w:p>
    <w:p w:rsidR="00CE6673" w:rsidRPr="00CE6673" w:rsidRDefault="00CE6673" w:rsidP="00CE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Разместить постановление в Единой информационной системе в сфере закупок.</w:t>
      </w:r>
    </w:p>
    <w:p w:rsidR="00CE6673" w:rsidRPr="00CE6673" w:rsidRDefault="00CE6673" w:rsidP="00CE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 Постановление вступает в силу после его подписания.</w:t>
      </w:r>
    </w:p>
    <w:p w:rsidR="00CE6673" w:rsidRPr="00CE6673" w:rsidRDefault="00CE6673" w:rsidP="00CE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E667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Р.Ф. </w:t>
      </w:r>
      <w:proofErr w:type="spellStart"/>
      <w:r w:rsidRPr="00CE667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Галиев</w:t>
      </w:r>
      <w:proofErr w:type="spellEnd"/>
    </w:p>
    <w:p w:rsidR="00CE6673" w:rsidRP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E6673" w:rsidRPr="00CE6673" w:rsidRDefault="00CE6673" w:rsidP="00CE6673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CE6673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Исполнитель:</w:t>
      </w:r>
    </w:p>
    <w:p w:rsidR="00CE6673" w:rsidRPr="00CE6673" w:rsidRDefault="00CE6673" w:rsidP="00CE6673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CE6673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учёта и отчётности</w:t>
      </w:r>
    </w:p>
    <w:p w:rsidR="00CE6673" w:rsidRPr="00CE6673" w:rsidRDefault="00CE6673" w:rsidP="00CE6673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CE6673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И.Ю.</w:t>
      </w:r>
    </w:p>
    <w:p w:rsidR="000119E3" w:rsidRDefault="00CE6673" w:rsidP="00CE6673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lang w:eastAsia="ru-RU"/>
        </w:rPr>
        <w:sectPr w:rsidR="000119E3" w:rsidSect="00781A01">
          <w:headerReference w:type="even" r:id="rId8"/>
          <w:headerReference w:type="default" r:id="rId9"/>
          <w:headerReference w:type="first" r:id="rId10"/>
          <w:pgSz w:w="11906" w:h="16838"/>
          <w:pgMar w:top="851" w:right="707" w:bottom="1135" w:left="1418" w:header="709" w:footer="709" w:gutter="0"/>
          <w:cols w:space="708"/>
          <w:titlePg/>
          <w:docGrid w:linePitch="360"/>
        </w:sectPr>
      </w:pPr>
      <w:r w:rsidRPr="00CE6673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8(3463) 22-05-45</w:t>
      </w:r>
    </w:p>
    <w:p w:rsidR="003C4EC6" w:rsidRDefault="00CE6673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3C4EC6" w:rsidRPr="003C4EC6" w:rsidRDefault="003C4EC6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УСЛУГИ СВЯЗИ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3773"/>
        <w:gridCol w:w="4192"/>
        <w:gridCol w:w="3179"/>
        <w:gridCol w:w="2853"/>
      </w:tblGrid>
      <w:tr w:rsidR="00410BB9" w:rsidRPr="00410BB9" w:rsidTr="00410BB9">
        <w:trPr>
          <w:trHeight w:hRule="exact" w:val="77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местной повременной, внутризоновой телефонной связи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10 абонентских номеров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В соответствии с установленными тарифами.  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 не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более 99 531,00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0BB9" w:rsidRPr="00410BB9" w:rsidTr="00410BB9">
        <w:trPr>
          <w:trHeight w:val="90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междугородней и международной телефонной связи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10 абонентских номеров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В соответствии с установленными тарифами.   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более </w:t>
            </w:r>
            <w:r w:rsidRPr="00410B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20 501,00 </w:t>
            </w: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рублей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год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0BB9" w:rsidRPr="00410BB9" w:rsidTr="00410BB9">
        <w:trPr>
          <w:trHeight w:val="6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сотовой связи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SIM-карты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 соответствии с установленными тарифами: не более 8 400,00 рублей в год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Лица, замещающие муниципальную должность</w:t>
            </w:r>
          </w:p>
        </w:tc>
      </w:tr>
      <w:tr w:rsidR="00410BB9" w:rsidRPr="00410BB9" w:rsidTr="00410BB9">
        <w:trPr>
          <w:trHeight w:val="82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 доступу к сети Интернет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Пропускаемая способность не менее 10 Мбит/с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 соответствии с установленными тарифами.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25 600,00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97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Пропускная способность не менее 100 Мбит/с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 соответствии с установленными тарифами.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78 000,00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0BB9" w:rsidRPr="00410BB9" w:rsidTr="00410BB9">
        <w:trPr>
          <w:trHeight w:hRule="exact" w:val="126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 передаче данных с использованием информационно-телекоммуникационной сети Интернет и услуги провайдеров для планшетных компьютеров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Безлимитный тарифный план, не более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1-й  SIM-карты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 соответствии с установленными тарифами.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12 000,00 рублей в год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Лица, замещающие муниципальную должность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Par118"/>
      <w:bookmarkEnd w:id="0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услуг связи,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6747F8" w:rsidRDefault="006747F8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2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Думы города Нефтеюганска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160"/>
      <w:bookmarkStart w:id="2" w:name="Par193"/>
      <w:bookmarkEnd w:id="1"/>
      <w:bookmarkEnd w:id="2"/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ПРИОБРЕТЕНИЕ УСЛУГ ПО СОПРОВОЖДЕНИЮ ПРОГРАММНОГО ОБЕСПЕЧЕНИЯ И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ПРЕДОСТАВЛЕНИЯ ПРАВА НА ИСПОЛЬЗОВАНИЕ ПРОГРАММНОГО ОБЕСПЕЧЕНИЯ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53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1"/>
        <w:gridCol w:w="3013"/>
        <w:gridCol w:w="5959"/>
        <w:gridCol w:w="2292"/>
        <w:gridCol w:w="6"/>
        <w:gridCol w:w="2859"/>
      </w:tblGrid>
      <w:tr w:rsidR="00410BB9" w:rsidRPr="00410BB9" w:rsidTr="00410BB9">
        <w:trPr>
          <w:trHeight w:hRule="exact" w:val="777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</w:t>
            </w:r>
          </w:p>
        </w:tc>
      </w:tr>
      <w:tr w:rsidR="00410BB9" w:rsidRPr="00410BB9" w:rsidTr="00410BB9">
        <w:trPr>
          <w:trHeight w:val="414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Услуга: КП ГУ Базовый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 платформе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"1С: Предприятие"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 CYR" w:eastAsia="Times New Roman" w:hAnsi="Times New Roman CYR" w:cs="Times New Roman"/>
                <w:lang w:eastAsia="ru-RU"/>
              </w:rPr>
              <w:t>Информационно-технологическое сопровождение, состоящее из набора услуг и сервисов, предоставляемых сроком на 12 месяцев.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16 500,00 рублей включительно за 1 конфигурацию в год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 Думы города Нефтеюганска</w:t>
            </w:r>
          </w:p>
        </w:tc>
      </w:tr>
      <w:tr w:rsidR="00410BB9" w:rsidRPr="00410BB9" w:rsidTr="00410BB9">
        <w:trPr>
          <w:trHeight w:val="3165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Обслуживание программных продуктов на платформе «1С:Предприятие»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2500,00 рублей за 1 час обслуживания ПП, в том числе:                                        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-обновление ПП по мере выхода новых версий типовых конфигураций ПП и платформы"1С: Предприятие;     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 -доработка ПП по заданию Заказчика (изменение существующих и создание новых форм, документов, отчетов;                                     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-установка комплектов форм регламентированной отчетности;                               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-настройка интерфейсов и прав доступа пользователя к информационной базе;          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-проведение тестирования и исправление внутренней структуры базы данных.        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31 200,00 рублей за обслуживание ПП в год,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из расчета: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 2 600,00 рублей за 1 час.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отчетности, организационно-правовой отдел Думы города Нефтеюганска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- оказание консультационной помощи по работе с программой (по телефону, по электронной почте);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 -иные работы непосредственно связанные с обслуживанием ПП.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2 600,00 рублей за 1 час, не более 6 часов в месяц.</w:t>
            </w: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Оказание услуг по адаптации и сопровождению справочно-правовой системы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557 256,00 рублей в год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0BB9" w:rsidRPr="00410BB9" w:rsidTr="00410BB9">
        <w:trPr>
          <w:trHeight w:val="131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 предоставлению права использования и абонентское обслуживание программы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«Контур. Экстерн»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18 644,00 рублей за 1 конфигурацию в год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 Думы города Нефтеюганска</w:t>
            </w:r>
          </w:p>
        </w:tc>
      </w:tr>
      <w:tr w:rsidR="00410BB9" w:rsidRPr="00410BB9" w:rsidTr="00410BB9">
        <w:trPr>
          <w:trHeight w:val="113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Передача неисключительных прав использования базы данных электронной системы «Госфинансы Плюс»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172 900,00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отчетности, организационно-правовой отдел Думы города Нефтеюганска</w:t>
            </w:r>
          </w:p>
        </w:tc>
      </w:tr>
      <w:tr w:rsidR="00410BB9" w:rsidRPr="00410BB9" w:rsidTr="00410BB9">
        <w:trPr>
          <w:trHeight w:val="1678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Услуга по проведению аттестационных испытаний объекта информатизации по требованиям безопасности информации (Бухгалтерия и Кадры)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81 900,00 рублей в год.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 и организационно-правовой отдел Думы города Нефтеюганска</w:t>
            </w:r>
          </w:p>
        </w:tc>
      </w:tr>
      <w:tr w:rsidR="00410BB9" w:rsidRPr="00410BB9" w:rsidTr="00410BB9">
        <w:trPr>
          <w:trHeight w:val="1967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Оказание услуг по активации сертификата поддержки на ПО VipNet Client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1 услуги в год.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-консультирование при эксплуатации ПО </w:t>
            </w:r>
            <w:proofErr w:type="spellStart"/>
            <w:r w:rsidRPr="00410BB9">
              <w:rPr>
                <w:rFonts w:ascii="Times New Roman" w:hAnsi="Times New Roman" w:cs="Times New Roman"/>
                <w:lang w:val="en-US" w:eastAsia="ru-RU"/>
              </w:rPr>
              <w:t>VipNetCIient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 -обновление ключевого дистрибутива;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-консультирование при установке и инициализации ПО </w:t>
            </w:r>
            <w:r w:rsidRPr="00410BB9">
              <w:rPr>
                <w:rFonts w:ascii="Times New Roman" w:hAnsi="Times New Roman" w:cs="Times New Roman"/>
                <w:lang w:val="en-US" w:eastAsia="ru-RU"/>
              </w:rPr>
              <w:t>ViPNetCIient</w:t>
            </w:r>
            <w:r w:rsidRPr="00410BB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-обновление ПО до актуальной версии;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-перевыпуск сертификатов закрытого ключа </w:t>
            </w:r>
            <w:proofErr w:type="spellStart"/>
            <w:r w:rsidRPr="00410BB9">
              <w:rPr>
                <w:rFonts w:ascii="Times New Roman" w:hAnsi="Times New Roman" w:cs="Times New Roman"/>
                <w:lang w:val="en-US" w:eastAsia="ru-RU"/>
              </w:rPr>
              <w:t>VipNetClient</w:t>
            </w:r>
            <w:proofErr w:type="spellEnd"/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более 4 000</w:t>
            </w:r>
            <w:r w:rsidRPr="00410BB9">
              <w:rPr>
                <w:rFonts w:ascii="Times New Roman" w:hAnsi="Times New Roman" w:cs="Times New Roman"/>
                <w:lang w:eastAsia="ru-RU"/>
              </w:rPr>
              <w:t>,00 рублей в год.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«Главные» Думы города Нефтеюганска</w:t>
            </w:r>
          </w:p>
        </w:tc>
      </w:tr>
      <w:tr w:rsidR="00410BB9" w:rsidRPr="00410BB9" w:rsidTr="00410BB9">
        <w:trPr>
          <w:trHeight w:val="182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подключения к защищенному сегменту системы электронного взаимодействия ХМАО-Югры посредством программного обеспечения VipNet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год.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6 650,00 рублей за 1 услугу в год.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«главные»  Думы города Нефтеюганска</w:t>
            </w:r>
          </w:p>
        </w:tc>
      </w:tr>
      <w:tr w:rsidR="00410BB9" w:rsidRPr="00410BB9" w:rsidTr="00410BB9">
        <w:trPr>
          <w:trHeight w:val="156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Продление лицензии на антивирусное программное обеспечение </w:t>
            </w:r>
            <w:proofErr w:type="spellStart"/>
            <w:r w:rsidRPr="00410BB9">
              <w:rPr>
                <w:rFonts w:ascii="Times New Roman" w:hAnsi="Times New Roman" w:cs="Times New Roman"/>
                <w:lang w:val="en-US" w:eastAsia="ru-RU"/>
              </w:rPr>
              <w:t>KasperskyEndpointSecurity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 xml:space="preserve"> для бизнеса – Стандартный </w:t>
            </w:r>
            <w:proofErr w:type="spellStart"/>
            <w:r w:rsidRPr="00410BB9">
              <w:rPr>
                <w:rFonts w:ascii="Times New Roman" w:hAnsi="Times New Roman" w:cs="Times New Roman"/>
                <w:lang w:val="en-US" w:eastAsia="ru-RU"/>
              </w:rPr>
              <w:t>RussianEdition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Kaspersky Endpoint Security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для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бизнеса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–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Стандартный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Russian Edition. 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>15-19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 xml:space="preserve"> Node 1 year 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>лицензия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28 140,00 рублей в год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rPr>
          <w:trHeight w:val="98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Изготовление сертификатов открытых ключей электронно-цифровых подписей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штуки в год на сотрудника на выполнение определенной функции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3 000,00 рублей за 1 сертификат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rPr>
          <w:trHeight w:val="1459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Приобретение сертифицированного ключевого носителя (</w:t>
            </w:r>
            <w:proofErr w:type="spellStart"/>
            <w:r w:rsidRPr="00410BB9">
              <w:rPr>
                <w:rFonts w:ascii="Times New Roman" w:eastAsiaTheme="minorHAnsi" w:hAnsi="Times New Roman" w:cs="Times New Roman"/>
              </w:rPr>
              <w:t>Рутокена</w:t>
            </w:r>
            <w:proofErr w:type="spellEnd"/>
            <w:r w:rsidRPr="00410BB9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штуки на 1 квалифицированную электронно-цифровую подпись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1 200,00 рублей за штуку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rPr>
          <w:trHeight w:val="1459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Приобретение лицензии на право пользования средства криптографической защиты информации «</w:t>
            </w:r>
            <w:proofErr w:type="spellStart"/>
            <w:r w:rsidRPr="00410BB9">
              <w:rPr>
                <w:rFonts w:ascii="Times New Roman" w:eastAsiaTheme="minorHAnsi" w:hAnsi="Times New Roman" w:cs="Times New Roman"/>
              </w:rPr>
              <w:t>КриптоПро</w:t>
            </w:r>
            <w:proofErr w:type="spellEnd"/>
            <w:r w:rsidRPr="00410BB9">
              <w:rPr>
                <w:rFonts w:ascii="Times New Roman" w:eastAsiaTheme="minorHAnsi" w:hAnsi="Times New Roman" w:cs="Times New Roman"/>
              </w:rPr>
              <w:t xml:space="preserve">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CSP</w:t>
            </w:r>
            <w:r w:rsidRPr="00410BB9"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лицензии на одно рабочее место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2 700,00 рублей за 1 лицензию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--------------------------------------------------------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услуг по сопровождению программного обеспечения и предоставления права на использование программного обеспечения,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3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3" w:name="Par240"/>
      <w:bookmarkEnd w:id="3"/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ОСНОВНЫХ СРЕДСТВ,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ОТНОСЯЩИХСЯ К ИНФОРМАЦИОННО-КОММУНИКАЦИОННЫМ ТЕХНОЛОГИЯМ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2128"/>
        <w:gridCol w:w="2265"/>
        <w:gridCol w:w="2841"/>
        <w:gridCol w:w="2936"/>
      </w:tblGrid>
      <w:tr w:rsidR="00410BB9" w:rsidRPr="00410BB9" w:rsidTr="00410BB9">
        <w:trPr>
          <w:trHeight w:hRule="exact" w:val="163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год)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Периодичность приобретения (определяется максимальным сроком полезного использования)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Категории, группы должностей или название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структурных подразделений</w:t>
            </w:r>
          </w:p>
        </w:tc>
      </w:tr>
      <w:tr w:rsidR="00410BB9" w:rsidRPr="00410BB9" w:rsidTr="00410BB9">
        <w:trPr>
          <w:trHeight w:val="82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Компьютер в сборе  (Рабочая станция: системный блок, монитор, клавиатура, мышь, предустановленное программное обеспечение)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10 единиц рабочих станций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68 005,00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Все категории, группы должностей Думы города Нефтеюганска </w:t>
            </w:r>
          </w:p>
        </w:tc>
      </w:tr>
      <w:tr w:rsidR="00410BB9" w:rsidRPr="00410BB9" w:rsidTr="00410BB9">
        <w:trPr>
          <w:trHeight w:val="93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Монитор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222222"/>
              </w:rPr>
              <w:t>Диагональ не менее 24</w:t>
            </w:r>
            <w:r w:rsidRPr="00410BB9">
              <w:rPr>
                <w:rFonts w:ascii="Times New Roman" w:eastAsiaTheme="minorHAnsi" w:hAnsi="Times New Roman" w:cs="Times New Roman"/>
              </w:rPr>
              <w:t xml:space="preserve"> дюймов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  Разрешение не менее 1920x1080.  Яркость не менее 250 кд/м2. Соотношение сторон экрана- 16:9. </w:t>
            </w:r>
            <w:hyperlink r:id="rId11" w:history="1">
              <w:r w:rsidRPr="00410BB9">
                <w:rPr>
                  <w:rFonts w:ascii="Times New Roman" w:eastAsia="Times New Roman" w:hAnsi="Times New Roman" w:cs="Times New Roman"/>
                  <w:color w:val="000000"/>
                </w:rPr>
                <w:t>Регулировка положения экрана</w:t>
              </w:r>
            </w:hyperlink>
            <w:r w:rsidRPr="00410BB9">
              <w:rPr>
                <w:rFonts w:ascii="Times New Roman" w:eastAsia="Times New Roman" w:hAnsi="Times New Roman" w:cs="Times New Roman"/>
                <w:color w:val="000000"/>
              </w:rPr>
              <w:t xml:space="preserve">, наклон. </w:t>
            </w:r>
            <w:r w:rsidRPr="00410BB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HDMI</w:t>
            </w:r>
            <w:r w:rsidRPr="00410BB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10BB9">
              <w:rPr>
                <w:rFonts w:ascii="Times New Roman" w:eastAsiaTheme="minorHAnsi" w:hAnsi="Times New Roman" w:cs="Times New Roman"/>
              </w:rPr>
              <w:t>Встроенные динамики и веб-камера.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31 000,00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(председатель Думы),  категория «руководитель» относящаяся к высшей группе</w:t>
            </w:r>
          </w:p>
        </w:tc>
      </w:tr>
      <w:tr w:rsidR="00410BB9" w:rsidRPr="00410BB9" w:rsidTr="00410BB9">
        <w:trPr>
          <w:trHeight w:val="83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Монитор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222222"/>
              </w:rPr>
              <w:t>Диагональ не менее 23,5</w:t>
            </w:r>
            <w:r w:rsidRPr="00410BB9">
              <w:rPr>
                <w:rFonts w:ascii="Times New Roman" w:eastAsiaTheme="minorHAnsi" w:hAnsi="Times New Roman" w:cs="Times New Roman"/>
              </w:rPr>
              <w:t>” дюймов</w:t>
            </w:r>
            <w:r w:rsidRPr="00410BB9">
              <w:rPr>
                <w:rFonts w:ascii="Times New Roman" w:eastAsia="Times New Roman" w:hAnsi="Times New Roman" w:cs="Times New Roman"/>
                <w:color w:val="222222"/>
              </w:rPr>
              <w:t xml:space="preserve">. </w:t>
            </w:r>
            <w:hyperlink r:id="rId12" w:history="1">
              <w:r w:rsidRPr="00410BB9">
                <w:rPr>
                  <w:rFonts w:ascii="Times New Roman" w:eastAsia="Times New Roman" w:hAnsi="Times New Roman" w:cs="Times New Roman"/>
                  <w:color w:val="000000"/>
                </w:rPr>
                <w:t>Разрешение экрана</w:t>
              </w:r>
            </w:hyperlink>
            <w:r w:rsidRPr="00410BB9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410BB9">
              <w:rPr>
                <w:rFonts w:ascii="Times New Roman" w:eastAsia="Times New Roman" w:hAnsi="Times New Roman" w:cs="Times New Roman"/>
                <w:color w:val="222222"/>
              </w:rPr>
              <w:t>1920 x 1080.</w:t>
            </w:r>
            <w:r w:rsidRPr="00410BB9">
              <w:rPr>
                <w:rFonts w:ascii="Times New Roman" w:eastAsiaTheme="minorHAnsi" w:hAnsi="Times New Roman" w:cs="Times New Roman"/>
              </w:rPr>
              <w:t xml:space="preserve"> Яркость не менее 250 кд/м2.</w:t>
            </w:r>
            <w:hyperlink r:id="rId13" w:history="1">
              <w:r w:rsidRPr="00410BB9">
                <w:rPr>
                  <w:rFonts w:ascii="Times New Roman" w:eastAsia="Times New Roman" w:hAnsi="Times New Roman" w:cs="Times New Roman"/>
                  <w:color w:val="000000"/>
                </w:rPr>
                <w:t>Соотношение сторон экрана -</w:t>
              </w:r>
            </w:hyperlink>
            <w:r w:rsidRPr="00410BB9">
              <w:rPr>
                <w:rFonts w:ascii="Times New Roman" w:eastAsia="Times New Roman" w:hAnsi="Times New Roman" w:cs="Times New Roman"/>
                <w:color w:val="000000"/>
              </w:rPr>
              <w:t xml:space="preserve"> 16:9.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2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10 500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1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Принтер штрих кодов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40 000,00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3 года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7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410BB9">
              <w:rPr>
                <w:rFonts w:ascii="Times New Roman" w:eastAsiaTheme="minorHAnsi" w:hAnsi="Times New Roman" w:cs="Times New Roman"/>
                <w:color w:val="000000"/>
              </w:rPr>
              <w:t>Многофункциональное устройство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(МФУ)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принтер/сканер/копир, A4, печать лазерная черно-белая, двусторонняя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2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40 900,00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112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Принтер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2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86 000,00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9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Потоковый сканер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40 000,00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1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Сервер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1 500 000,00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10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Коммутатор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2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20 000,00 рублей 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Телефонный аппарат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3 500,00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Калькулятор настольный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1 500,00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Шредер (уничтожитель документов)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14 920,00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10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Брошюратор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30 000,00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Многофункциональное устройство (МФУ)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принтер/сканер/копир, A3, печать лазерная черно-белая, двусторонняя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109 200,00 рублей за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Системный блок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Тип накопителя SSD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 xml:space="preserve">Объём оперативной памяти не менее   8 </w:t>
            </w:r>
            <w:proofErr w:type="spellStart"/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  <w:proofErr w:type="spellEnd"/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Блок питания не менее 450 Вт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единиц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60 460,00 рублей за 1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Веб-камера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(разрешение 4096</w:t>
            </w:r>
            <w:r w:rsidRPr="00410BB9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410BB9">
              <w:rPr>
                <w:rFonts w:ascii="Times New Roman" w:hAnsi="Times New Roman" w:cs="Times New Roman"/>
                <w:lang w:eastAsia="ru-RU"/>
              </w:rPr>
              <w:t>2160)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Не более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22 710</w:t>
            </w:r>
            <w:r w:rsidRPr="00410BB9">
              <w:rPr>
                <w:rFonts w:ascii="Times New Roman" w:eastAsiaTheme="minorHAnsi" w:hAnsi="Times New Roman" w:cs="Times New Roman"/>
              </w:rPr>
              <w:t>,00 за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Рабочая станция </w:t>
            </w:r>
            <w:r w:rsidRPr="00410BB9">
              <w:rPr>
                <w:rFonts w:ascii="Times New Roman" w:hAnsi="Times New Roman" w:cs="Times New Roman"/>
                <w:lang w:val="en-US" w:eastAsia="ru-RU"/>
              </w:rPr>
              <w:t>(</w:t>
            </w:r>
            <w:proofErr w:type="spellStart"/>
            <w:r w:rsidRPr="00410BB9">
              <w:rPr>
                <w:rFonts w:ascii="Times New Roman" w:hAnsi="Times New Roman" w:cs="Times New Roman"/>
                <w:lang w:eastAsia="ru-RU"/>
              </w:rPr>
              <w:t>неттоп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78 660,00 рублей за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Роутер </w:t>
            </w:r>
            <w:r w:rsidRPr="00410BB9">
              <w:rPr>
                <w:rFonts w:ascii="Times New Roman" w:hAnsi="Times New Roman" w:cs="Times New Roman"/>
                <w:lang w:val="en-US" w:eastAsia="ru-RU"/>
              </w:rPr>
              <w:t>Wi-Fi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3 440,00 рублей за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Телевизор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 xml:space="preserve">Тип панели </w:t>
            </w:r>
            <w:r w:rsidRPr="00410BB9">
              <w:rPr>
                <w:rFonts w:ascii="Times New Roman" w:eastAsia="Times New Roman" w:hAnsi="Times New Roman" w:cs="Times New Roman"/>
                <w:lang w:val="en-US" w:eastAsia="ru-RU"/>
              </w:rPr>
              <w:t>LED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78 750,00 рублей за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7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Лица, замещающие муниципальную должность </w:t>
            </w:r>
          </w:p>
        </w:tc>
      </w:tr>
      <w:tr w:rsidR="00410BB9" w:rsidRPr="00410BB9" w:rsidTr="00410BB9">
        <w:trPr>
          <w:trHeight w:val="8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Облучатель-</w:t>
            </w:r>
            <w:proofErr w:type="spellStart"/>
            <w:r w:rsidRPr="00410BB9">
              <w:rPr>
                <w:rFonts w:ascii="Times New Roman" w:eastAsiaTheme="minorHAnsi" w:hAnsi="Times New Roman" w:cs="Times New Roman"/>
              </w:rPr>
              <w:t>рециркулятор</w:t>
            </w:r>
            <w:proofErr w:type="spellEnd"/>
            <w:r w:rsidRPr="00410BB9">
              <w:rPr>
                <w:rFonts w:ascii="Times New Roman" w:eastAsiaTheme="minorHAnsi" w:hAnsi="Times New Roman" w:cs="Times New Roman"/>
              </w:rPr>
              <w:t xml:space="preserve"> бактерицидный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 единицы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17 800,00 рублей за единицу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5 лет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4" w:name="Par298"/>
      <w:bookmarkEnd w:id="4"/>
      <w:r w:rsidRPr="00410BB9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приобретение основных средств, может быть изменен по решению руководителя Думы города Нефтеюганска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4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5" w:name="Par341"/>
      <w:bookmarkEnd w:id="5"/>
      <w:r w:rsidRPr="00410BB9">
        <w:rPr>
          <w:rFonts w:ascii="Times New Roman" w:eastAsia="Times New Roman" w:hAnsi="Times New Roman" w:cs="Times New Roman"/>
          <w:b/>
          <w:bCs/>
          <w:sz w:val="20"/>
          <w:szCs w:val="20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BB9">
        <w:rPr>
          <w:rFonts w:ascii="Times New Roman" w:eastAsia="Times New Roman" w:hAnsi="Times New Roman" w:cs="Times New Roman"/>
          <w:b/>
          <w:bCs/>
          <w:sz w:val="20"/>
          <w:szCs w:val="20"/>
        </w:rPr>
        <w:t>НА ПРИОБРЕТЕНИЕ МАГНИТНЫХ И ОПТИЧЕСКИХ НОСИТЕЛЕЙ ИНФОРМАЦИИ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261"/>
        <w:gridCol w:w="1867"/>
        <w:gridCol w:w="2265"/>
        <w:gridCol w:w="2841"/>
        <w:gridCol w:w="2936"/>
      </w:tblGrid>
      <w:tr w:rsidR="00410BB9" w:rsidRPr="00410BB9" w:rsidTr="00410BB9">
        <w:trPr>
          <w:trHeight w:hRule="exact" w:val="163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год)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Периодичность приобретения (определяется максимальным сроком полезного использования)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Категории, группы должностей или название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структурных подразделений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>Флэш носители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>Не более 5 единиц в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 xml:space="preserve">Не более 700,00 рублей включительно за 1 единицу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 xml:space="preserve">Жесткий </w:t>
            </w:r>
            <w:r w:rsidRPr="00410BB9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внешний </w:t>
            </w:r>
            <w:r w:rsidRPr="00410BB9">
              <w:rPr>
                <w:rFonts w:ascii="Times New Roman" w:eastAsia="Times New Roman" w:hAnsi="Times New Roman" w:cs="Times New Roman"/>
              </w:rPr>
              <w:t>диск не менее 500 GB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>Не более 5 единиц в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 xml:space="preserve">Не более 7 000,00 рублей включительно за 1 единицу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3338" w:type="pct"/>
          <w:trHeight w:val="100"/>
          <w:jc w:val="center"/>
        </w:trPr>
        <w:tc>
          <w:tcPr>
            <w:tcW w:w="1662" w:type="pct"/>
            <w:gridSpan w:val="3"/>
            <w:tcBorders>
              <w:top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BB9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363"/>
      <w:bookmarkEnd w:id="6"/>
      <w:r w:rsidRPr="00410BB9">
        <w:rPr>
          <w:rFonts w:ascii="Times New Roman" w:eastAsia="Times New Roman" w:hAnsi="Times New Roman" w:cs="Times New Roman"/>
          <w:sz w:val="20"/>
          <w:szCs w:val="20"/>
        </w:rPr>
        <w:t xml:space="preserve">&lt;1&gt; Объем расходов, рассчитанный с применением нормативных затрат на приобретение магнитных и оптических носителей информации, может быть изменен по решению руководителя </w:t>
      </w:r>
      <w:r w:rsidRPr="00410BB9">
        <w:rPr>
          <w:rFonts w:ascii="Times New Roman" w:eastAsiaTheme="minorHAnsi" w:hAnsi="Times New Roman" w:cs="Times New Roman"/>
          <w:sz w:val="20"/>
          <w:szCs w:val="20"/>
        </w:rPr>
        <w:t>Думы города Нефтеюганска</w:t>
      </w:r>
      <w:r w:rsidRPr="00410BB9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410BB9">
        <w:rPr>
          <w:rFonts w:ascii="Times New Roman" w:eastAsia="Times New Roman" w:hAnsi="Times New Roman" w:cs="Times New Roman"/>
          <w:sz w:val="20"/>
          <w:szCs w:val="20"/>
        </w:rPr>
        <w:t>в пределах</w:t>
      </w:r>
      <w:proofErr w:type="gramEnd"/>
      <w:r w:rsidRPr="00410BB9">
        <w:rPr>
          <w:rFonts w:ascii="Times New Roman" w:eastAsia="Times New Roman" w:hAnsi="Times New Roman" w:cs="Times New Roman"/>
          <w:sz w:val="20"/>
          <w:szCs w:val="20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5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Думы города Нефтеюганска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7" w:name="Par376"/>
      <w:bookmarkEnd w:id="7"/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(ОРГТЕХНИКИ)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5"/>
        <w:gridCol w:w="3827"/>
        <w:gridCol w:w="2268"/>
        <w:gridCol w:w="2126"/>
        <w:gridCol w:w="2841"/>
        <w:gridCol w:w="2936"/>
      </w:tblGrid>
      <w:tr w:rsidR="00410BB9" w:rsidRPr="00410BB9" w:rsidTr="00410BB9">
        <w:trPr>
          <w:trHeight w:hRule="exact" w:val="10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год)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Периодичность приобретения (определяется максимальным сроком полезного использования)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Категории, группы должностей или название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структурных подразделений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Картридж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CE</w:t>
            </w:r>
            <w:r w:rsidRPr="00410BB9">
              <w:rPr>
                <w:rFonts w:ascii="Times New Roman" w:eastAsiaTheme="minorHAnsi" w:hAnsi="Times New Roman" w:cs="Times New Roman"/>
              </w:rPr>
              <w:t>285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A</w:t>
            </w:r>
            <w:r w:rsidRPr="00410BB9">
              <w:rPr>
                <w:rFonts w:ascii="Times New Roman" w:eastAsiaTheme="minorHAnsi" w:hAnsi="Times New Roman" w:cs="Times New Roman"/>
              </w:rPr>
              <w:t xml:space="preserve">/725 (1600стр.) совместимый для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HP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4 штук  в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Не более 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>550</w:t>
            </w:r>
            <w:r w:rsidRPr="00410BB9">
              <w:rPr>
                <w:rFonts w:ascii="Times New Roman" w:eastAsiaTheme="minorHAnsi" w:hAnsi="Times New Roman" w:cs="Times New Roman"/>
              </w:rPr>
              <w:t>,00 рублей за 1 штуку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Тонер-картридж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TK</w:t>
            </w:r>
            <w:r w:rsidRPr="00410BB9">
              <w:rPr>
                <w:rFonts w:ascii="Times New Roman" w:eastAsiaTheme="minorHAnsi" w:hAnsi="Times New Roman" w:cs="Times New Roman"/>
              </w:rPr>
              <w:t xml:space="preserve">-475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Kyosera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штук в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1 522,00 рублей за 1 штуку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Картридж 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PL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>-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CE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278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A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/726/728 совместимый для </w:t>
            </w:r>
            <w:r w:rsidRPr="00410BB9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Canon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 штук в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584,00 рублей за 1 штуку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Картридж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Kyosera</w:t>
            </w:r>
            <w:r w:rsidRPr="00410BB9">
              <w:rPr>
                <w:rFonts w:ascii="Times New Roman" w:eastAsiaTheme="minorHAnsi" w:hAnsi="Times New Roman" w:cs="Times New Roman"/>
              </w:rPr>
              <w:t xml:space="preserve"> ТК-1200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штуки в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983,00 рублей за 1 штуку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 xml:space="preserve">Чернила на струйный принтер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Epson</w:t>
            </w:r>
            <w:r w:rsidRPr="00410BB9">
              <w:rPr>
                <w:rFonts w:ascii="Times New Roman" w:eastAsiaTheme="minorHAnsi" w:hAnsi="Times New Roman" w:cs="Times New Roman"/>
              </w:rPr>
              <w:t xml:space="preserve"> 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L</w:t>
            </w:r>
            <w:r w:rsidRPr="00410BB9">
              <w:rPr>
                <w:rFonts w:ascii="Times New Roman" w:eastAsiaTheme="minorHAnsi" w:hAnsi="Times New Roman" w:cs="Times New Roman"/>
              </w:rPr>
              <w:t>1800 (</w:t>
            </w:r>
            <w:r w:rsidRPr="00410BB9">
              <w:rPr>
                <w:rFonts w:ascii="Times New Roman" w:eastAsiaTheme="minorHAnsi" w:hAnsi="Times New Roman" w:cs="Times New Roman"/>
                <w:lang w:val="en-US"/>
              </w:rPr>
              <w:t>T</w:t>
            </w:r>
            <w:r w:rsidRPr="00410BB9">
              <w:rPr>
                <w:rFonts w:ascii="Times New Roman" w:eastAsiaTheme="minorHAnsi" w:hAnsi="Times New Roman" w:cs="Times New Roman"/>
              </w:rPr>
              <w:t>6731, Т6732, Т6733, Т6734, Т6735,Т6736)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12 штук в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2 815,00 рублей за 1 штуку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8" w:name="Par395"/>
      <w:bookmarkEnd w:id="8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картриджей, может быть изменен по решению руководителя Думы города </w:t>
      </w:r>
      <w:proofErr w:type="spell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Нефтеюганскав</w:t>
      </w:r>
      <w:proofErr w:type="spell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eastAsiaTheme="minorHAnsi" w:hAnsi="Times New Roman" w:cs="Times New Roman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6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9" w:name="Par439"/>
      <w:bookmarkEnd w:id="9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УСЛУГИ ПОЧТОВОЙ И ТЕЛЕГРАФНОЙ СВЯЗИ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3631"/>
        <w:gridCol w:w="3610"/>
        <w:gridCol w:w="2891"/>
        <w:gridCol w:w="3865"/>
      </w:tblGrid>
      <w:tr w:rsidR="00410BB9" w:rsidRPr="00410BB9" w:rsidTr="00410BB9">
        <w:trPr>
          <w:trHeight w:hRule="exact" w:val="7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год)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Категории, группы должностей или название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структурных подразделений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Маркированная продукция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6 000,00 рублей в год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  <w:color w:val="000000" w:themeColor="text1"/>
              </w:rPr>
              <w:t>Услуги почтовой связи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6 000,00 рублей в год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Услуги телеграфной связи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телеграмм в год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3 000,00 рублей в год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0" w:name="Par457"/>
      <w:bookmarkEnd w:id="10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услуг почтовой и телеграфной связи может быть изменен по решению руководителя Думы </w:t>
      </w:r>
      <w:proofErr w:type="spell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городаНефтеюганскав</w:t>
      </w:r>
      <w:proofErr w:type="spell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7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УСЛУГИ КАБЕЛЬНОГО ТЕЛЕВИДЕНИЯ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8"/>
        <w:gridCol w:w="3746"/>
        <w:gridCol w:w="4159"/>
        <w:gridCol w:w="2773"/>
        <w:gridCol w:w="3337"/>
      </w:tblGrid>
      <w:tr w:rsidR="00410BB9" w:rsidRPr="00410BB9" w:rsidTr="00410BB9">
        <w:trPr>
          <w:trHeight w:hRule="exact" w:val="922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год)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Категории, группы должностей или название 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структурных подразделений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10BB9" w:rsidRPr="00410BB9" w:rsidRDefault="00410BB9" w:rsidP="0041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Услуги кабельного телевидения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12 услуг  в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Не более 6 000,00 рублей в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Лица, замещающие муниципальную должность</w:t>
            </w:r>
          </w:p>
        </w:tc>
      </w:tr>
      <w:tr w:rsidR="00410BB9" w:rsidRPr="00410BB9" w:rsidTr="00410BB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459" w:type="pct"/>
          <w:trHeight w:val="100"/>
          <w:jc w:val="center"/>
        </w:trPr>
        <w:tc>
          <w:tcPr>
            <w:tcW w:w="1541" w:type="pct"/>
            <w:gridSpan w:val="2"/>
            <w:tcBorders>
              <w:top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услуг кабельного телевидения, может быть изменен по решению руководителя Думы города </w:t>
      </w:r>
      <w:proofErr w:type="spell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Нефтеюганскав</w:t>
      </w:r>
      <w:proofErr w:type="spell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8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11" w:name="Par470"/>
      <w:bookmarkEnd w:id="11"/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ОФИСНОЙ МЕБЕЛИ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760"/>
        <w:gridCol w:w="2485"/>
        <w:gridCol w:w="2126"/>
        <w:gridCol w:w="2693"/>
      </w:tblGrid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512" w:tooltip="&lt;1&gt; Объем расходов, рассчитанный с применением нормативных затрат на приобретение офисной мебел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Периодичность приобретения (определяется максимальным сроком полезного использования)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Стол рабочий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17 800,00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Тумба сервисная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13 000,00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Тумба мобильная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 17400,00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Шкаф для документов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18 600,00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Шкаф для одежды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17000,00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Стол рабочий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39400,00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Брифинг-приставка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39600,00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Тумба мобильная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23500,00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Тумба для оргтехники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43300,00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Стол рабочий угловой (левый, правый)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9 000,00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должности Думы города Нефтеюганска, не отнесенные к категориям 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Приставная тумба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 1сотрудника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7 000,00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Приставка к столу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850,00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Опора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приставку к столу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1 200,00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Подставка для системного блока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Тумба под ксерокс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6 500,00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Шкаф для документов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 предметов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12 000,00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Шкаф для документов (низкий)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предметов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6 600,00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Шкаф для одежды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9 000,00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Кресло для руководителя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14 900,00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Кресло для руководителя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 на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14 500,0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410BB9" w:rsidRPr="00410BB9" w:rsidTr="00410BB9">
        <w:trPr>
          <w:trHeight w:val="1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20 предметов в расчете на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10 000,00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Кресло для персонала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 в расчете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12 600,00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должности Думы города Нефтеюганска, не отнесенные к категориям Руководители «Высшие», Руководители «Главные»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Холодильник однокамерный, наличие морозильной камеры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10 150,00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По количеству окон в кабинетах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2 500,00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По количеству рабочих кабинетов при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3 000,00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По количеству рабочих кабинетов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1 500,00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Сейф огнестойкий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15 000,00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25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1 500,00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Шкаф металлический для бумаг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2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15 000,00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Жалюзи рулонные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По количеству окон в кабинетах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24 000,00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 xml:space="preserve">Стол переговорный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Не более 50 000,00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10BB9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2" w:name="Par512"/>
      <w:bookmarkEnd w:id="12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офисной мебели,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47F8" w:rsidRDefault="006747F8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9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13" w:name="Par574"/>
      <w:bookmarkEnd w:id="13"/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ПРОЧЕЙ ПРОДУКЦИИ, ИЗГОТОВЛЯЕМОЙ ТИПОГРАФИЕЙ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17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678"/>
        <w:gridCol w:w="2268"/>
        <w:gridCol w:w="2693"/>
      </w:tblGrid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609" w:tooltip="&lt;1&gt; Объем расходов, рассчитанный с применением нормативных затрат на приобретение (изготовление) бланков строгой отчетности с уровнем защиты &quot;А&quot;, может быть изменен по решению руководителя органа государственной власти в пределах утвержденных на эти цели лимит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6747F8">
        <w:trPr>
          <w:trHeight w:val="10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Папка «Почетная грамота»</w:t>
            </w:r>
          </w:p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Папка размером 22,5 х 31 см с изображением символики города, не более 100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1 700,00</w:t>
            </w:r>
            <w:r w:rsidRPr="00410BB9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Бланк «Почетная грамота»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Лист бумаги размером 420 x 297 мм, сложенный вдвое, плотностью 220 </w:t>
            </w:r>
            <w:proofErr w:type="spellStart"/>
            <w:r w:rsidRPr="00410BB9">
              <w:rPr>
                <w:rFonts w:ascii="Times New Roman" w:hAnsi="Times New Roman" w:cs="Times New Roman"/>
                <w:lang w:eastAsia="ru-RU"/>
              </w:rPr>
              <w:t>гр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>/м2, не более 120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более 325,00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6747F8">
        <w:trPr>
          <w:trHeight w:val="73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Папка «Поздравляю»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Папка размером 22,5х31 см с надписью «Поздравляю», не более 100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1 700,00</w:t>
            </w:r>
            <w:r w:rsidRPr="00410BB9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6747F8">
        <w:trPr>
          <w:trHeight w:val="8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Бланк «Поздравляю»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Лист бумаги размером 420 x 297 мм, сложенный вдвое, плотностью 220 </w:t>
            </w:r>
            <w:proofErr w:type="spellStart"/>
            <w:r w:rsidRPr="00410BB9">
              <w:rPr>
                <w:rFonts w:ascii="Times New Roman" w:hAnsi="Times New Roman" w:cs="Times New Roman"/>
                <w:lang w:eastAsia="ru-RU"/>
              </w:rPr>
              <w:t>гр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>/м2, не более 120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325,00</w:t>
            </w:r>
            <w:r w:rsidRPr="00410BB9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Открытка поздравительная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Открытка ЕВРО (210х210), двойная,  бумага 250 г/м, не более 100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150,00</w:t>
            </w:r>
            <w:r w:rsidRPr="00410BB9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6747F8">
        <w:trPr>
          <w:trHeight w:val="9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Переплет решений  Думы для архива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формат А4, картон переплетённый, плотность 1,75 коленкор, бумага цветная </w:t>
            </w:r>
            <w:proofErr w:type="spellStart"/>
            <w:r w:rsidRPr="00410BB9">
              <w:rPr>
                <w:rFonts w:ascii="Times New Roman" w:hAnsi="Times New Roman" w:cs="Times New Roman"/>
                <w:lang w:eastAsia="ru-RU"/>
              </w:rPr>
              <w:t>color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>, форзац бумага офсетная 80 гр., не более 19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400,00 рублей за 1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50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220,00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Нагрудный знак депутата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25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781,00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val="en-US" w:eastAsia="ru-RU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val="en-US" w:eastAsia="ru-RU"/>
              </w:rPr>
              <w:t>П</w:t>
            </w:r>
            <w:proofErr w:type="spellStart"/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ечать</w:t>
            </w:r>
            <w:proofErr w:type="spellEnd"/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3 100,00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6747F8">
        <w:trPr>
          <w:trHeight w:val="102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val="en-US" w:eastAsia="ru-RU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Штамп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1 545,00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Факсимиле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1 штуки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4315,00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4" w:name="Par609"/>
      <w:bookmarkEnd w:id="14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прочей продукции, изготовляемой типографией,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spacing w:after="200" w:line="276" w:lineRule="auto"/>
        <w:rPr>
          <w:lang w:eastAsia="ru-RU"/>
        </w:rPr>
      </w:pPr>
    </w:p>
    <w:p w:rsidR="006747F8" w:rsidRDefault="006747F8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47F8" w:rsidRDefault="006747F8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47F8" w:rsidRDefault="006747F8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10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ПРОЧЕЙ ПРОДУКЦИИ, ПОДАРОЧНОЙ СУВЕНИРНОЙ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742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4"/>
        <w:gridCol w:w="2977"/>
        <w:gridCol w:w="2977"/>
        <w:gridCol w:w="2693"/>
      </w:tblGrid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строки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609" w:tooltip="&lt;1&gt; Объем расходов, рассчитанный с применением нормативных затрат на приобретение (изготовление) бланков строгой отчетности с уровнем защиты &quot;А&quot;, может быть изменен по решению руководителя органа государственной власти в пределах утвержденных на эти цели лимит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подарков, сувениров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45 100,00 рублей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живых цветов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650 штук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151 450,00 рублей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Подарочные пакеты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20 штук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350,00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 деревянная со стеклом 21*30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150 штук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186,00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410BB9" w:rsidRPr="00410BB9" w:rsidTr="00410B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Фотобумага для офисной техники А4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10 пачек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398,00 рублей за 1 пачку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прочей продукции, подарочной сувенирной,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6747F8" w:rsidRDefault="006747F8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11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КАНЦЕЛЯРСКИХ ТОВАРОВ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3118"/>
        <w:gridCol w:w="2835"/>
        <w:gridCol w:w="2835"/>
      </w:tblGrid>
      <w:tr w:rsidR="00410BB9" w:rsidRPr="00410BB9" w:rsidTr="00410BB9">
        <w:trPr>
          <w:trHeight w:val="782"/>
          <w:jc w:val="center"/>
        </w:trPr>
        <w:tc>
          <w:tcPr>
            <w:tcW w:w="704" w:type="dxa"/>
            <w:shd w:val="clear" w:color="000000" w:fill="FFFFFF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строки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(цена) товара, работы, услуги &lt;1&gt;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 должностей или название структурных подразделений </w:t>
            </w:r>
          </w:p>
        </w:tc>
      </w:tr>
      <w:tr w:rsidR="00410BB9" w:rsidRPr="00410BB9" w:rsidTr="00410BB9">
        <w:trPr>
          <w:trHeight w:val="4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Скрепочница магнитная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151,00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Расшиватель для скоб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Блок для записей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197,00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Блок для записей с клеевым краем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88,00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Ножницы канцелярские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199,00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Ежедневник формат А5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8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Зажим для бумаг 15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63,00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8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Зажим для бумаг 19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79,00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Зажим для бумаг 25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115,00 рубля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Зажим для бумаг 32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159,00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Зажим для бумаг 41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240,00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Зажим для бумаг 51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220,00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Клейкие закладки пластиковые (45*12 мм)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упаковок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177,00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Игла канцелярская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201,00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Календарь настенный трехблочный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253,00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Календарь настольный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Грифель для карандаша механического  0,7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81,00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Карандаш чернографитный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105,00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Карандаш механический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166,00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Клей ПВА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212,00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Клей-карандаш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148,00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Ластик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Лоток для бумаги пластиковый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1092,00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Маркер-текстовыделитель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58,00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Маркер для досок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61,00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Картон канцелярский (для подшивки)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645,00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Конверт почтовый бумажный 110*220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упаковок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337,00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Конверт почтовый бумажный 162*229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442,00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 пластиковая А 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110,00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Папка-обложка «Дело» картонная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100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 пластиковая на 60 файлов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315,00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 пластиковая на 100 файлов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443,00 рублей за 1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Папка-скоросшиватель картонная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22,00 рублей за 1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Папка-скоросшиватель прозрачный верх пластиковая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 штук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27,00 рублей за 1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Папка-уголок пластиковая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23,00 рублей за 1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Папка пластиковая с пружинным механизмом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штук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93,00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Обложка для переплета прозрачная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710,00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Пленка для ламинирования А4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954,00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Пакет почтовый пластиковый250*353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(50 штук в упаковке)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724,00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Пакет почтовый пластиковый 229*324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(50 штук в упаковке)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627,00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Ручка канцелярская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шариковая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48,00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Ручка канцелярская гелиевая (черная, синяя)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93,00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Стержень для ручки канцелярский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шариковый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Стержень для ручки канцелярский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гелевый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35,00 рублей за 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23/15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235,00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23/20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упаковка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264,00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№23/23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327,00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24/6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упаковка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58,00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Степлер</w:t>
            </w:r>
            <w:proofErr w:type="spellEnd"/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 xml:space="preserve"> № 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434,00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Степлер</w:t>
            </w:r>
            <w:proofErr w:type="spellEnd"/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 xml:space="preserve"> № 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334,00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15мм*33 м (прозрачная)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48(50)мм*66 м (прозрачная)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167,00 рубля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двухсторонняя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219,00 рубля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4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Скрепки канцелярские 28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 в расчёте на 1сотрудника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36,00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3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Скрепки канцелярские75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170,00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Тетрадь 48 листов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47,00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Тетрадь 12 листов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Тетрадь 120 листов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314,00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Книга учёта универсальная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96 листов (твердый переплёт, клетка)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295,00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Точилка канцелярская для карандашей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202,00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Файл-вкладыш прозрачный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307,00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Средство корректирующее канцелярское(жидкость)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78,00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Средство корректирующее канцелярское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(лента)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123,00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Нить прошивная капроновая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764,00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Дырокол на 2 пробиваемых отверстия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876,00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Дырокол на 4 пробиваемых отверстия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12 500,00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75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Кнопка канцелярская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49,00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Салфетки чистящие для оргтехники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209,00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Элемент питания АА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(4 штуки в упаковке)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388,00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Элемент питания ААА</w:t>
            </w:r>
          </w:p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(4 штуки в упаковке)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374,00 рублей за упаковку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Штамп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1 240,00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Краска штемпельная (синяя)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301,00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Подушка сменная 40*40 для печати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341,00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Подушка для увлажнения пальцев (гелевая)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124,00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(30 см)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47,00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880,00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 с арочным механизмом 50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расчета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254,00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410BB9" w:rsidRPr="00410BB9" w:rsidTr="00410BB9">
        <w:trPr>
          <w:trHeight w:val="600"/>
          <w:jc w:val="center"/>
        </w:trPr>
        <w:tc>
          <w:tcPr>
            <w:tcW w:w="704" w:type="dxa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 с арочным механизмом 70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lang w:eastAsia="ru-RU"/>
              </w:rPr>
              <w:t>Не более 290,00 рублей за штуку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0BB9" w:rsidRPr="00410BB9" w:rsidRDefault="00410BB9" w:rsidP="004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&lt;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1&gt;Объем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расходов, рассчитанный с применением нормативных затрат на приобретение канцелярских товаров, может быть изменен по решению руководителя Думы города Нефтеюганска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12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БУМАГИ ДЛЯ ПРИНТЕРОВ И КОПИРОВАЛЬНОЙ ТЕХНИКИ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3402"/>
        <w:gridCol w:w="2693"/>
        <w:gridCol w:w="3044"/>
      </w:tblGrid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886" w:tooltip="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органа государственной власти в пределах утвержденных на эти цели лимитов бюджетных обяза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Бумага для офисной техники А4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200 пачек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650,00 рублей за 1 пачку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line="240" w:lineRule="auto"/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Бумага для офисной техники А3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 пачек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1 211,00 рублей за 1 пачку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line="240" w:lineRule="auto"/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  <w:r w:rsidRPr="00410BB9">
        <w:rPr>
          <w:rFonts w:ascii="Times New Roman" w:eastAsiaTheme="minorHAnsi" w:hAnsi="Times New Roman" w:cs="Times New Roman"/>
          <w:sz w:val="18"/>
          <w:szCs w:val="18"/>
        </w:rPr>
        <w:t xml:space="preserve">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eastAsiaTheme="minorHAnsi" w:hAnsi="Times New Roman" w:cs="Times New Roman"/>
          <w:sz w:val="18"/>
          <w:szCs w:val="18"/>
        </w:rPr>
        <w:t>в пределах</w:t>
      </w:r>
      <w:proofErr w:type="gramEnd"/>
      <w:r w:rsidRPr="00410BB9">
        <w:rPr>
          <w:rFonts w:ascii="Times New Roman" w:eastAsiaTheme="minorHAnsi" w:hAnsi="Times New Roman" w:cs="Times New Roman"/>
          <w:sz w:val="18"/>
          <w:szCs w:val="18"/>
        </w:rPr>
        <w:t xml:space="preserve"> утвержденных на эти цели лимитов бюджетных обязательств по соответствующем </w:t>
      </w:r>
      <w:proofErr w:type="spellStart"/>
      <w:r w:rsidRPr="00410BB9">
        <w:rPr>
          <w:rFonts w:ascii="Times New Roman" w:eastAsiaTheme="minorHAnsi" w:hAnsi="Times New Roman" w:cs="Times New Roman"/>
          <w:sz w:val="18"/>
          <w:szCs w:val="18"/>
        </w:rPr>
        <w:t>у</w:t>
      </w:r>
      <w:r w:rsidRPr="00410BB9">
        <w:rPr>
          <w:rFonts w:ascii="Times New Roman" w:hAnsi="Times New Roman" w:cs="Times New Roman"/>
          <w:sz w:val="20"/>
          <w:szCs w:val="20"/>
          <w:lang w:eastAsia="ru-RU"/>
        </w:rPr>
        <w:t>коду</w:t>
      </w:r>
      <w:proofErr w:type="spell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классификации расходов бюджетов.</w:t>
      </w: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  <w:r w:rsidRPr="00410BB9">
        <w:rPr>
          <w:rFonts w:ascii="Times New Roman" w:eastAsiaTheme="minorHAnsi" w:hAnsi="Times New Roman" w:cs="Times New Roman"/>
          <w:sz w:val="18"/>
          <w:szCs w:val="18"/>
        </w:rPr>
        <w:br w:type="page"/>
      </w:r>
    </w:p>
    <w:p w:rsidR="00410BB9" w:rsidRPr="00410BB9" w:rsidRDefault="00410BB9" w:rsidP="00410BB9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13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15" w:name="Par899"/>
      <w:bookmarkEnd w:id="15"/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ВОДЫ ПИТЬЕВОЙ БУТИЛИРОВАННОЙ НЕГАЗИРОВАННОЙ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17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3402"/>
        <w:gridCol w:w="2693"/>
        <w:gridCol w:w="2835"/>
      </w:tblGrid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918" w:tooltip="&lt;1&gt; Объем расходов, рассчитанный с применением нормативных затрат на приобретение воды питьевой бутилированной негазированной, может быть изменен по решению руководителя органа государственной власти в пределах утвержденных на эти цели лимитов бюджетных обязат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Вода питьевая бутилированная 18,9 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7 бутылей в год объемом 18,9 литров в расчете на 1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250,00 рублей за 1 бутыль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410BB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Вода минеральная природная питьевая негазированная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900 бутылок в год объемом 0,33- 0,5 литров, по мере необходимости на заседания постоянных комиссий Думы города Нефтеюганска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45,00 рублей за 1 бутылку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 (заседания постоянных комиссий Думы города Нефтеюганска)</w:t>
            </w:r>
          </w:p>
        </w:tc>
      </w:tr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Вода питьевая бутилированная 18,9 л.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бутылей в месяц объемом 18,9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250,00 рублей за 1 бутыль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Общехозяйственные нужды Думы города Нефтеюганска (проведение заседаний Думы, комиссий, мероприятия)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6" w:name="Par918"/>
      <w:bookmarkEnd w:id="16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воды питьевой бутилированной негазированной,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spacing w:after="200" w:line="276" w:lineRule="auto"/>
        <w:rPr>
          <w:lang w:eastAsia="ru-RU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14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Думы города Нефтеюганска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 РАСХОДАМ НА СОДЕРЖАНИЕ ИМУЩЕСТВА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959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812"/>
        <w:gridCol w:w="2693"/>
        <w:gridCol w:w="2693"/>
        <w:gridCol w:w="2977"/>
      </w:tblGrid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21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 техническому обслуживанию и ремонту оборудования и  инвентаря в части административно-хозяйственного обеспечения (кондиционеры)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10 единиц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50 000,00 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содержанию имущества,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15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 ПО ВОССТАНОВЛЕНИЮ И РЕМОНТУ ТЕХНИКИ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17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2977"/>
        <w:gridCol w:w="2551"/>
        <w:gridCol w:w="2835"/>
      </w:tblGrid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 ремонту и техническому обслуживанию техники (</w:t>
            </w:r>
            <w:proofErr w:type="spellStart"/>
            <w:r w:rsidRPr="00410BB9">
              <w:rPr>
                <w:rFonts w:ascii="Times New Roman" w:hAnsi="Times New Roman" w:cs="Times New Roman"/>
                <w:lang w:eastAsia="ru-RU"/>
              </w:rPr>
              <w:t>кофемашина</w:t>
            </w:r>
            <w:proofErr w:type="spellEnd"/>
            <w:r w:rsidRPr="00410BB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17 000,00 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техническому обслуживанию и регламентно-профилактическому ремонту техники,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tabs>
          <w:tab w:val="left" w:pos="13335"/>
        </w:tabs>
        <w:rPr>
          <w:rFonts w:eastAsiaTheme="minorHAnsi"/>
        </w:rPr>
      </w:pPr>
      <w:r w:rsidRPr="00410BB9">
        <w:rPr>
          <w:rFonts w:eastAsiaTheme="minorHAnsi"/>
        </w:rPr>
        <w:tab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bookmarkStart w:id="17" w:name="_GoBack"/>
      <w:bookmarkEnd w:id="17"/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16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ОКАЗАНИЕ УСЛУГ ПО ПРОХОЖДЕНИЮ ДИСПАНСЕРИЗАЦИИ И ПЕРИОДИЧЕСКОГО МЕДИЦИНСКОГО ОСМОТРА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01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953"/>
        <w:gridCol w:w="2694"/>
        <w:gridCol w:w="2551"/>
        <w:gridCol w:w="3119"/>
      </w:tblGrid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11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Услуги по проведению периодического медицинского осмотра работников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(в соответствии с п.4.2.5 Приказа Министерства здравоохранения и социального развития РФ от 28.01.2021 г. № 29-н) и диспансеризации муниципальных служащих (в соответствии с приказом Минздравсоцразвития РФ от 14.12.2009 №984н)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раза в год на 1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8 648,00 рублей в расчете на 1 сотрудника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Нефтеюганска, кроме лиц, замещающих муниципальные должности</w:t>
            </w:r>
          </w:p>
        </w:tc>
      </w:tr>
      <w:tr w:rsidR="00410BB9" w:rsidRPr="00410BB9" w:rsidTr="00410BB9">
        <w:trPr>
          <w:trHeight w:val="11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Оказание услуг по прохождению периодического медицинского осмотра работников в соответствии с п.4.2.5 Приказа Министерства здравоохранения и социального развития РФ от 28.01.2021 г. № 29-н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раза в 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4 000,00 рублей в расчете на 1 сотрудника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(председатель Думы города Нефтеюганска)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прохождению диспансеризации и прохождению периодического медицинского осмотра,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17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ОКАЗАНИЕ УСЛУГ ПО ОРГАНИЗАЦИИ КУРСОВ ПОВЫШЕНИЯ КВАЛИФИКАЦИИ, СЕМИНАРОВ, КОНФЕРЕНЦИЙ, ВЕБ-СЕМИНАРОВ И ПРОЧИХ ОБРАЗОВАТЕЛЬНЫХ УСЛУГ ДЛЯ МУНИЦИПАЛЬНЫХ СЛУЖАЩИХ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4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961"/>
        <w:gridCol w:w="3544"/>
        <w:gridCol w:w="2551"/>
        <w:gridCol w:w="2866"/>
      </w:tblGrid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Плата за обучение на курсах повышения квалификации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менее 3 сотрудников в год, с учетом плана дополнительного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Arial"/>
                <w:lang w:eastAsia="ru-RU"/>
              </w:rPr>
              <w:t>Не более 45 500,00 рублей в расчете на 1 сотрудника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eastAsiaTheme="minorHAnsi" w:hAnsi="Times New Roman" w:cs="Times New Roman"/>
        </w:rPr>
        <w:t>&lt;</w:t>
      </w:r>
      <w:r w:rsidRPr="00410BB9">
        <w:rPr>
          <w:rFonts w:ascii="Times New Roman" w:eastAsiaTheme="minorHAnsi" w:hAnsi="Times New Roman" w:cs="Times New Roman"/>
          <w:sz w:val="20"/>
          <w:szCs w:val="20"/>
        </w:rPr>
        <w:t xml:space="preserve">1&gt; Объем расходов, рассчитанный с применением нормативных затрат на оказание услуг по организации курсов повышения квалификации, семинаров, конференций, веб-семинаров и прочих образовательных услуг для муниципальных служащих, может быть изменен по решению руководителя Думы города Нефтеюганска в пределах, утвержденных на эти цели лимитов бюджетных обязательств по </w:t>
      </w:r>
      <w:r w:rsidRPr="00410BB9">
        <w:rPr>
          <w:rFonts w:ascii="Times New Roman" w:hAnsi="Times New Roman" w:cs="Times New Roman"/>
          <w:sz w:val="20"/>
          <w:szCs w:val="20"/>
          <w:lang w:eastAsia="ru-RU"/>
        </w:rPr>
        <w:t>соответствующему коду классификации расходов бюджетов.</w:t>
      </w: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18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 ПО СТРАХОВАНИЮ ЖИЗНИ, ЗДОРОВЬЯ, ИМУЩЕСТВА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17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961"/>
        <w:gridCol w:w="3544"/>
        <w:gridCol w:w="2551"/>
        <w:gridCol w:w="2835"/>
      </w:tblGrid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(в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Оказание услуг по страхованию, кроме страхования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23 200,00 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Думы города Нефтеюганска</w:t>
            </w:r>
          </w:p>
        </w:tc>
      </w:tr>
      <w:tr w:rsidR="00410BB9" w:rsidRPr="00410BB9" w:rsidTr="00410BB9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Оказание услуг по страхованию жизни, здоровья и от несчастных случаев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27 100,00 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страхованию жизни, здоровья, имущества, по страхованию помещения может быть изменен по решению руководителя Думы города Нефтеюганска в пределах </w:t>
      </w:r>
      <w:proofErr w:type="spell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твержденных</w:t>
      </w:r>
      <w:proofErr w:type="spell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jc w:val="both"/>
        <w:rPr>
          <w:rFonts w:eastAsiaTheme="minorHAnsi"/>
          <w:sz w:val="20"/>
          <w:szCs w:val="20"/>
        </w:rPr>
      </w:pPr>
    </w:p>
    <w:p w:rsidR="00410BB9" w:rsidRPr="00410BB9" w:rsidRDefault="00410BB9" w:rsidP="00410BB9">
      <w:pPr>
        <w:jc w:val="both"/>
        <w:rPr>
          <w:rFonts w:eastAsiaTheme="minorHAnsi"/>
          <w:sz w:val="20"/>
          <w:szCs w:val="20"/>
        </w:rPr>
      </w:pPr>
    </w:p>
    <w:p w:rsidR="00410BB9" w:rsidRPr="00410BB9" w:rsidRDefault="00410BB9" w:rsidP="00410BB9">
      <w:pPr>
        <w:jc w:val="both"/>
        <w:rPr>
          <w:rFonts w:eastAsiaTheme="minorHAnsi"/>
          <w:sz w:val="20"/>
          <w:szCs w:val="20"/>
        </w:rPr>
      </w:pPr>
    </w:p>
    <w:p w:rsidR="00410BB9" w:rsidRPr="00410BB9" w:rsidRDefault="00410BB9" w:rsidP="00410BB9">
      <w:pPr>
        <w:jc w:val="both"/>
        <w:rPr>
          <w:rFonts w:eastAsiaTheme="minorHAnsi"/>
          <w:sz w:val="20"/>
          <w:szCs w:val="20"/>
        </w:rPr>
      </w:pPr>
    </w:p>
    <w:p w:rsidR="00410BB9" w:rsidRPr="00410BB9" w:rsidRDefault="00410BB9" w:rsidP="00410BB9">
      <w:pPr>
        <w:jc w:val="both"/>
        <w:rPr>
          <w:rFonts w:eastAsiaTheme="minorHAnsi"/>
          <w:sz w:val="20"/>
          <w:szCs w:val="20"/>
        </w:rPr>
      </w:pPr>
    </w:p>
    <w:p w:rsidR="00410BB9" w:rsidRPr="00410BB9" w:rsidRDefault="00410BB9" w:rsidP="00410BB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eastAsiaTheme="minorHAnsi"/>
          <w:sz w:val="20"/>
          <w:szCs w:val="20"/>
        </w:rPr>
        <w:br w:type="page"/>
      </w: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19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  </w:t>
      </w: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959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36"/>
        <w:gridCol w:w="1984"/>
        <w:gridCol w:w="2268"/>
        <w:gridCol w:w="2410"/>
        <w:gridCol w:w="2977"/>
      </w:tblGrid>
      <w:tr w:rsidR="00410BB9" w:rsidRPr="00410BB9" w:rsidTr="00410B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Периодичность выполнения (оказания) 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13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Техническое обслуживание и регламентно-профилактический ремонт вычислительной техники, принтеров, МФУ и копировальных аппаратов (оргтехники)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50 единиц в год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92 600,00 рублей в год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оргтехники, может быть изменен по решению руководителя Думы города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Default="00410BB9" w:rsidP="00410B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eastAsiaTheme="minorHAnsi"/>
        </w:rPr>
        <w:br w:type="page"/>
      </w:r>
      <w:r>
        <w:rPr>
          <w:rFonts w:eastAsiaTheme="minorHAnsi"/>
        </w:rPr>
        <w:t>П</w:t>
      </w:r>
      <w:r w:rsidRPr="00410BB9">
        <w:rPr>
          <w:rFonts w:ascii="Times New Roman" w:hAnsi="Times New Roman" w:cs="Times New Roman"/>
          <w:sz w:val="20"/>
          <w:szCs w:val="20"/>
          <w:lang w:eastAsia="ru-RU"/>
        </w:rPr>
        <w:t>риложение 20</w:t>
      </w:r>
    </w:p>
    <w:p w:rsidR="00410BB9" w:rsidRPr="00410BB9" w:rsidRDefault="00410BB9" w:rsidP="00410B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 ПО УТИЛИЗАЦИИ АРХИВА, ОРГТЕХНИКИ И МЕБЕЛИ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675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394"/>
        <w:gridCol w:w="2977"/>
        <w:gridCol w:w="3685"/>
        <w:gridCol w:w="2693"/>
      </w:tblGrid>
      <w:tr w:rsidR="00410BB9" w:rsidRPr="00410BB9" w:rsidTr="00410BB9">
        <w:trPr>
          <w:trHeight w:val="69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Категория должностей или название структурных подразделений </w:t>
            </w:r>
          </w:p>
        </w:tc>
      </w:tr>
      <w:tr w:rsidR="00410BB9" w:rsidRPr="00410BB9" w:rsidTr="00410BB9">
        <w:trPr>
          <w:trHeight w:val="106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Оказание услуг по утилизации архива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500 кг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21 500,00 рублей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Отдел учета и отчетности Думы города Нефтеюганска</w:t>
            </w:r>
          </w:p>
        </w:tc>
      </w:tr>
      <w:tr w:rsidR="00410BB9" w:rsidRPr="00410BB9" w:rsidTr="00410BB9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Оказание услуг по утилизации оргтехники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1 услуга в год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23 000,00 рублей за 1 услугу в год</w:t>
            </w:r>
          </w:p>
          <w:p w:rsidR="00410BB9" w:rsidRPr="00410BB9" w:rsidRDefault="00410BB9" w:rsidP="00410BB9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Отдел учета и отчетности Думы города Нефтеюганска</w:t>
            </w:r>
          </w:p>
        </w:tc>
      </w:tr>
      <w:tr w:rsidR="00410BB9" w:rsidRPr="00410BB9" w:rsidTr="00410BB9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Оказание услуг по утилизации мебели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 услуга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17 000,00 рублей за 1 услугу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Отдел учета и отчетности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утилизации архива, оргтехники и мебели,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eastAsiaTheme="minorHAnsi"/>
          <w:sz w:val="20"/>
          <w:szCs w:val="20"/>
        </w:rPr>
      </w:pPr>
      <w:r w:rsidRPr="00410BB9">
        <w:rPr>
          <w:rFonts w:eastAsiaTheme="minorHAnsi"/>
          <w:sz w:val="20"/>
          <w:szCs w:val="20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21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 ОХРАНЕ ТРУДА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959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394"/>
        <w:gridCol w:w="3685"/>
        <w:gridCol w:w="2835"/>
        <w:gridCol w:w="3119"/>
      </w:tblGrid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886" w:tooltip="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органа государственной власти в пределах утвержденных на эти цели лимитов бюджетных обяза" w:history="1">
              <w:r w:rsidRPr="00410BB9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410BB9" w:rsidRPr="00410BB9" w:rsidTr="00410BB9">
        <w:trPr>
          <w:trHeight w:val="6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Обучение по охране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 xml:space="preserve">Не более 5 сотрудников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3 900,00 рублей на 1 сотрудника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line="240" w:lineRule="auto"/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Обучение по пожарно-техническому минимуму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сотрудников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2 240,00 рублей на 1 сотрудника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spacing w:line="240" w:lineRule="auto"/>
              <w:jc w:val="center"/>
              <w:rPr>
                <w:rFonts w:eastAsiaTheme="minorHAnsi"/>
              </w:rPr>
            </w:pPr>
            <w:r w:rsidRPr="00410BB9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Антисептик-гель для рук с дозатором (1 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44 штук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672,00 рублей за штуку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410BB9" w:rsidRPr="00410BB9" w:rsidTr="00410B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Маска лицевая одноразовая (50 шт.)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192 упаковок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Не более 300,00 рублей за упаковку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BB9" w:rsidRPr="00410BB9" w:rsidRDefault="00410BB9" w:rsidP="00410B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0BB9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по охране труда может быть изменен по решению 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eastAsiaTheme="minorHAnsi" w:hAnsi="Times New Roman" w:cs="Times New Roman"/>
        </w:rPr>
        <w:br w:type="page"/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>Приложение 22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29.07.2022 г. № 36-П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ЗАПАСНЫХ ЧАСТЕЙ (ДЕТАЛЕЙ) ДЛЯ СОДЕРЖАНИЯ ВЫЧИСЛИТЕЛЬНОЙ ТЕХНИКИ, ПРИНТЕРОВ, МФУ, КОПИРОВАЛЬНЫХ АППАРАТОВ И ИНОЙ ОРГТЕХНИКИ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4757"/>
        <w:gridCol w:w="3618"/>
        <w:gridCol w:w="2835"/>
        <w:gridCol w:w="2694"/>
      </w:tblGrid>
      <w:tr w:rsidR="00410BB9" w:rsidRPr="00410BB9" w:rsidTr="00410B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410BB9">
                <w:rPr>
                  <w:rFonts w:ascii="Times New Roman" w:hAnsi="Times New Roman" w:cs="Times New Roman"/>
                  <w:color w:val="000000" w:themeColor="text1"/>
                  <w:lang w:eastAsia="ru-RU"/>
                </w:rPr>
                <w:t>&lt;1&gt;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Категория должностей или название структурных подразделений </w:t>
            </w:r>
          </w:p>
        </w:tc>
      </w:tr>
      <w:tr w:rsidR="00410BB9" w:rsidRPr="00410BB9" w:rsidTr="00410B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Блок питания резервный 3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Y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Power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610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WT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YM</w:t>
            </w: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-2611</w:t>
            </w:r>
            <w:r w:rsidRPr="00410BB9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1 единицы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42 000,00 рублей за 1 единицу товара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9" w:rsidRPr="00410BB9" w:rsidRDefault="00410BB9" w:rsidP="004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10B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Все категории и группы должностей Думы города Нефтеюганска</w:t>
            </w:r>
          </w:p>
        </w:tc>
      </w:tr>
    </w:tbl>
    <w:p w:rsidR="00410BB9" w:rsidRPr="00410BB9" w:rsidRDefault="00410BB9" w:rsidP="0041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0B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--------------------------------</w:t>
      </w:r>
    </w:p>
    <w:p w:rsidR="00410BB9" w:rsidRPr="00410BB9" w:rsidRDefault="00410BB9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8" w:name="Par328"/>
      <w:bookmarkEnd w:id="18"/>
      <w:r w:rsidRPr="00410BB9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&lt;1&gt; Объем расходов, рассчитанный с применением нормативных затрат на приобретение запасных частей (деталей) для содержания вычислительной техники, принтеров, МФУ, копировальных аппаратов и иной оргтехники, может быть изменен по решению </w:t>
      </w:r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руководителя Думы города Нефтеюганска </w:t>
      </w:r>
      <w:proofErr w:type="gramStart"/>
      <w:r w:rsidRPr="00410BB9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410BB9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410BB9" w:rsidRPr="00410BB9" w:rsidRDefault="00410BB9" w:rsidP="00410BB9">
      <w:pPr>
        <w:rPr>
          <w:rFonts w:eastAsiaTheme="minorHAnsi"/>
        </w:rPr>
      </w:pPr>
    </w:p>
    <w:p w:rsidR="000119E3" w:rsidRPr="00D45431" w:rsidRDefault="000119E3" w:rsidP="00410B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i/>
          <w:lang w:eastAsia="ru-RU"/>
        </w:rPr>
      </w:pPr>
    </w:p>
    <w:sectPr w:rsidR="000119E3" w:rsidRPr="00D45431" w:rsidSect="006747F8">
      <w:pgSz w:w="16838" w:h="11906" w:orient="landscape"/>
      <w:pgMar w:top="284" w:right="113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B9" w:rsidRDefault="00410BB9">
      <w:pPr>
        <w:spacing w:after="0" w:line="240" w:lineRule="auto"/>
      </w:pPr>
      <w:r>
        <w:separator/>
      </w:r>
    </w:p>
  </w:endnote>
  <w:endnote w:type="continuationSeparator" w:id="0">
    <w:p w:rsidR="00410BB9" w:rsidRDefault="004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B9" w:rsidRDefault="00410BB9">
      <w:pPr>
        <w:spacing w:after="0" w:line="240" w:lineRule="auto"/>
      </w:pPr>
      <w:r>
        <w:separator/>
      </w:r>
    </w:p>
  </w:footnote>
  <w:footnote w:type="continuationSeparator" w:id="0">
    <w:p w:rsidR="00410BB9" w:rsidRDefault="0041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B9" w:rsidRDefault="00410BB9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BB9" w:rsidRDefault="00410B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40145"/>
      <w:docPartObj>
        <w:docPartGallery w:val="Page Numbers (Top of Page)"/>
        <w:docPartUnique/>
      </w:docPartObj>
    </w:sdtPr>
    <w:sdtContent>
      <w:p w:rsidR="00410BB9" w:rsidRDefault="00410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F8" w:rsidRPr="006747F8">
          <w:rPr>
            <w:noProof/>
            <w:lang w:val="ru-RU"/>
          </w:rPr>
          <w:t>32</w:t>
        </w:r>
        <w:r>
          <w:fldChar w:fldCharType="end"/>
        </w:r>
      </w:p>
    </w:sdtContent>
  </w:sdt>
  <w:p w:rsidR="00410BB9" w:rsidRDefault="00410B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B9" w:rsidRPr="00F47DED" w:rsidRDefault="00410BB9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B1E7B"/>
    <w:rsid w:val="00101DC9"/>
    <w:rsid w:val="001302CA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7DDA"/>
    <w:rsid w:val="002434F5"/>
    <w:rsid w:val="00243971"/>
    <w:rsid w:val="002439B7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757E"/>
    <w:rsid w:val="003F565A"/>
    <w:rsid w:val="00410BB9"/>
    <w:rsid w:val="004352B5"/>
    <w:rsid w:val="004425D4"/>
    <w:rsid w:val="0047220A"/>
    <w:rsid w:val="00475EB7"/>
    <w:rsid w:val="0047690F"/>
    <w:rsid w:val="004958FD"/>
    <w:rsid w:val="004C3CF0"/>
    <w:rsid w:val="004D67AF"/>
    <w:rsid w:val="004E686D"/>
    <w:rsid w:val="004F1BD1"/>
    <w:rsid w:val="00530F84"/>
    <w:rsid w:val="00534B42"/>
    <w:rsid w:val="0057381E"/>
    <w:rsid w:val="005A7C70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72D5F"/>
    <w:rsid w:val="006747F8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840CC"/>
    <w:rsid w:val="009E0BAD"/>
    <w:rsid w:val="009E190A"/>
    <w:rsid w:val="00A21A48"/>
    <w:rsid w:val="00A3796F"/>
    <w:rsid w:val="00A57DBF"/>
    <w:rsid w:val="00A727ED"/>
    <w:rsid w:val="00AA2A94"/>
    <w:rsid w:val="00AD5338"/>
    <w:rsid w:val="00B01928"/>
    <w:rsid w:val="00B03FD1"/>
    <w:rsid w:val="00B106C3"/>
    <w:rsid w:val="00B45EFE"/>
    <w:rsid w:val="00B62BC2"/>
    <w:rsid w:val="00B864A5"/>
    <w:rsid w:val="00BB3BD4"/>
    <w:rsid w:val="00BC4609"/>
    <w:rsid w:val="00BD022B"/>
    <w:rsid w:val="00BE2ABF"/>
    <w:rsid w:val="00C4398E"/>
    <w:rsid w:val="00C5410B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E6673"/>
    <w:rsid w:val="00CF4652"/>
    <w:rsid w:val="00D010DA"/>
    <w:rsid w:val="00D31E62"/>
    <w:rsid w:val="00D4017C"/>
    <w:rsid w:val="00D413B7"/>
    <w:rsid w:val="00D45431"/>
    <w:rsid w:val="00D51521"/>
    <w:rsid w:val="00DA4E68"/>
    <w:rsid w:val="00DC1018"/>
    <w:rsid w:val="00DC112B"/>
    <w:rsid w:val="00DC6548"/>
    <w:rsid w:val="00DF57DB"/>
    <w:rsid w:val="00E0256F"/>
    <w:rsid w:val="00E120A7"/>
    <w:rsid w:val="00E222B4"/>
    <w:rsid w:val="00E41CAB"/>
    <w:rsid w:val="00E51D49"/>
    <w:rsid w:val="00E6374D"/>
    <w:rsid w:val="00E87E77"/>
    <w:rsid w:val="00EA30B8"/>
    <w:rsid w:val="00EA5C81"/>
    <w:rsid w:val="00EA6674"/>
    <w:rsid w:val="00EC4714"/>
    <w:rsid w:val="00EC7ED6"/>
    <w:rsid w:val="00F21122"/>
    <w:rsid w:val="00F30169"/>
    <w:rsid w:val="00F47DED"/>
    <w:rsid w:val="00F6119E"/>
    <w:rsid w:val="00F735A7"/>
    <w:rsid w:val="00F8196B"/>
    <w:rsid w:val="00F86F6F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C8D7F9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E6673"/>
  </w:style>
  <w:style w:type="paragraph" w:styleId="afb">
    <w:name w:val="footnote text"/>
    <w:basedOn w:val="a"/>
    <w:link w:val="afc"/>
    <w:rsid w:val="00CE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CE6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CE6673"/>
    <w:rPr>
      <w:vertAlign w:val="superscript"/>
    </w:rPr>
  </w:style>
  <w:style w:type="character" w:customStyle="1" w:styleId="product-spec-itemname-inner">
    <w:name w:val="product-spec-item__name-inner"/>
    <w:basedOn w:val="a0"/>
    <w:rsid w:val="00CE6673"/>
  </w:style>
  <w:style w:type="numbering" w:customStyle="1" w:styleId="23">
    <w:name w:val="Нет списка2"/>
    <w:next w:val="a2"/>
    <w:uiPriority w:val="99"/>
    <w:semiHidden/>
    <w:unhideWhenUsed/>
    <w:rsid w:val="0041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ix.ru/computer_hardware_news/hardware_news_viewer.html?id=1944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ix.ru/computer_hardware_news/hardware_news_viewer.html?id=1944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ix.ru/computer_hardware_news/hardware_news_viewer.html?id=1944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E280-A92C-42A9-8CA8-9528E0C8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9901</Words>
  <Characters>56441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2022-04-15T05:08:00Z</cp:lastPrinted>
  <dcterms:created xsi:type="dcterms:W3CDTF">2022-11-15T11:40:00Z</dcterms:created>
  <dcterms:modified xsi:type="dcterms:W3CDTF">2022-11-15T12:17:00Z</dcterms:modified>
</cp:coreProperties>
</file>