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0E4D02" w:rsidRPr="00443A80" w:rsidRDefault="000E4D02" w:rsidP="00D93035">
      <w:pPr>
        <w:spacing w:line="276" w:lineRule="auto"/>
        <w:rPr>
          <w:sz w:val="22"/>
          <w:szCs w:val="22"/>
        </w:rPr>
      </w:pPr>
    </w:p>
    <w:p w:rsidR="00443A80" w:rsidRPr="0002358E" w:rsidRDefault="000E4D02" w:rsidP="000E4D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02358E">
        <w:rPr>
          <w:sz w:val="28"/>
          <w:szCs w:val="28"/>
        </w:rPr>
        <w:t xml:space="preserve">Исх. от 10.10.2022 № СП-689-2  </w:t>
      </w:r>
      <w:bookmarkStart w:id="0" w:name="_GoBack"/>
      <w:bookmarkEnd w:id="0"/>
    </w:p>
    <w:p w:rsidR="000E4D02" w:rsidRDefault="000E4D02" w:rsidP="000E4D02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0E4D0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1640E3" w:rsidRDefault="00E33F0E" w:rsidP="000E4D02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0E4D02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385FB0">
        <w:rPr>
          <w:sz w:val="28"/>
          <w:szCs w:val="28"/>
        </w:rPr>
        <w:t>Об утверждении порядка определения объёма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D93035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0E4D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C01BB1" w:rsidRDefault="00C01BB1" w:rsidP="000E4D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605EF9" w:rsidRPr="001640E3">
        <w:rPr>
          <w:sz w:val="28"/>
          <w:szCs w:val="28"/>
        </w:rPr>
        <w:t>«</w:t>
      </w:r>
      <w:r w:rsidR="00385FB0">
        <w:rPr>
          <w:sz w:val="28"/>
          <w:szCs w:val="28"/>
        </w:rPr>
        <w:t>Об утверждении порядка определения объёма и предоставления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605EF9" w:rsidRPr="001640E3">
        <w:rPr>
          <w:sz w:val="28"/>
          <w:szCs w:val="28"/>
        </w:rPr>
        <w:t>»</w:t>
      </w:r>
      <w:r w:rsidR="00F80117"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CC44BA">
        <w:rPr>
          <w:rFonts w:eastAsiaTheme="minorHAnsi"/>
          <w:sz w:val="28"/>
          <w:szCs w:val="28"/>
          <w:lang w:eastAsia="en-US"/>
        </w:rPr>
        <w:t>, проект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E4393" w:rsidRDefault="00DE4393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экспертизы установлено следующее:</w:t>
      </w:r>
    </w:p>
    <w:p w:rsidR="00DE4393" w:rsidRDefault="00DE4393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DE4393" w:rsidRDefault="00DE4393" w:rsidP="000E4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требования). </w:t>
      </w:r>
    </w:p>
    <w:p w:rsidR="00DE4393" w:rsidRDefault="00DE4393" w:rsidP="000E4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требованиям приведёт к нарушению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DE4393" w:rsidRDefault="00DE4393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проекте установлены несоответствия Общим требованиям, а именно:</w:t>
      </w:r>
    </w:p>
    <w:p w:rsidR="00DE4393" w:rsidRDefault="00DE4393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пунктами 1.7, 2.1</w:t>
      </w:r>
      <w:r w:rsidR="00551C4F">
        <w:rPr>
          <w:sz w:val="28"/>
          <w:szCs w:val="28"/>
        </w:rPr>
        <w:t>, 2.14</w:t>
      </w:r>
      <w:r>
        <w:rPr>
          <w:sz w:val="28"/>
          <w:szCs w:val="28"/>
        </w:rPr>
        <w:t xml:space="preserve">, абзацем </w:t>
      </w:r>
      <w:r w:rsidR="00420714">
        <w:rPr>
          <w:sz w:val="28"/>
          <w:szCs w:val="28"/>
        </w:rPr>
        <w:t>пятнадцатым</w:t>
      </w:r>
      <w:r>
        <w:rPr>
          <w:sz w:val="28"/>
          <w:szCs w:val="28"/>
        </w:rPr>
        <w:t xml:space="preserve"> пункта 2.1</w:t>
      </w:r>
      <w:r w:rsidR="00551C4F">
        <w:rPr>
          <w:sz w:val="28"/>
          <w:szCs w:val="28"/>
        </w:rPr>
        <w:t xml:space="preserve"> установлены положения о размещении сведений о субсидии, объявления о проведении конкурсного отбора, результатов и итогов конкурсного отбора на официальном сайте органов местного самоуправления города Нефтеюганска в сети Интернет, а также на едином портале бюджетной системы </w:t>
      </w:r>
      <w:r w:rsidR="00551C4F" w:rsidRPr="00551C4F">
        <w:rPr>
          <w:i/>
          <w:sz w:val="28"/>
          <w:szCs w:val="28"/>
        </w:rPr>
        <w:t>при наличии технической возможности</w:t>
      </w:r>
      <w:r w:rsidR="00551C4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C46FA4" w:rsidRPr="008221FF" w:rsidRDefault="00F66306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46FA4" w:rsidRPr="008221FF">
        <w:rPr>
          <w:rFonts w:eastAsiaTheme="minorHAnsi"/>
          <w:sz w:val="28"/>
          <w:szCs w:val="28"/>
          <w:lang w:eastAsia="en-US"/>
        </w:rPr>
        <w:t>В соответствии с подпунктом «ж» пункта 3</w:t>
      </w:r>
      <w:r w:rsidR="00425513">
        <w:rPr>
          <w:rFonts w:eastAsiaTheme="minorHAnsi"/>
          <w:sz w:val="28"/>
          <w:szCs w:val="28"/>
          <w:lang w:eastAsia="en-US"/>
        </w:rPr>
        <w:t xml:space="preserve">, абзацами </w:t>
      </w:r>
      <w:r w:rsidR="00420714">
        <w:rPr>
          <w:rFonts w:eastAsiaTheme="minorHAnsi"/>
          <w:sz w:val="28"/>
          <w:szCs w:val="28"/>
          <w:lang w:eastAsia="en-US"/>
        </w:rPr>
        <w:t>первым и семнадцатым</w:t>
      </w:r>
      <w:r w:rsidR="00425513">
        <w:rPr>
          <w:rFonts w:eastAsiaTheme="minorHAnsi"/>
          <w:sz w:val="28"/>
          <w:szCs w:val="28"/>
          <w:lang w:eastAsia="en-US"/>
        </w:rPr>
        <w:t xml:space="preserve"> подпункта «б» пункта 4</w:t>
      </w:r>
      <w:r w:rsidR="00C46FA4" w:rsidRPr="008221FF">
        <w:rPr>
          <w:rFonts w:eastAsiaTheme="minorHAnsi"/>
          <w:sz w:val="28"/>
          <w:szCs w:val="28"/>
          <w:lang w:eastAsia="en-US"/>
        </w:rPr>
        <w:t xml:space="preserve"> Общих требований в целях определения общих положений о предоставлении субсидий</w:t>
      </w:r>
      <w:r w:rsidR="00425513">
        <w:rPr>
          <w:rFonts w:eastAsiaTheme="minorHAnsi"/>
          <w:sz w:val="28"/>
          <w:szCs w:val="28"/>
          <w:lang w:eastAsia="en-US"/>
        </w:rPr>
        <w:t>, установления порядка проведения отбора</w:t>
      </w:r>
      <w:r w:rsidR="00C46FA4" w:rsidRPr="008221FF">
        <w:rPr>
          <w:rFonts w:eastAsiaTheme="minorHAnsi"/>
          <w:sz w:val="28"/>
          <w:szCs w:val="28"/>
          <w:lang w:eastAsia="en-US"/>
        </w:rPr>
        <w:t xml:space="preserve"> в правовом акте указываются информация о размещении </w:t>
      </w:r>
      <w:r w:rsidR="00425513">
        <w:rPr>
          <w:rFonts w:eastAsiaTheme="minorHAnsi"/>
          <w:sz w:val="28"/>
          <w:szCs w:val="28"/>
          <w:lang w:eastAsia="en-US"/>
        </w:rPr>
        <w:t xml:space="preserve"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="00425513" w:rsidRPr="006554DD">
        <w:rPr>
          <w:rFonts w:eastAsiaTheme="minorHAnsi"/>
          <w:sz w:val="28"/>
          <w:szCs w:val="28"/>
          <w:lang w:eastAsia="en-US"/>
        </w:rPr>
        <w:t>при необходимости на официальном сайте главного распорядителя как получателя бюджетных</w:t>
      </w:r>
      <w:r w:rsidR="00425513">
        <w:rPr>
          <w:rFonts w:eastAsiaTheme="minorHAnsi"/>
          <w:sz w:val="28"/>
          <w:szCs w:val="28"/>
          <w:lang w:eastAsia="en-US"/>
        </w:rPr>
        <w:t xml:space="preserve"> средств в информационно-телекоммуникационной сети «Интернет» </w:t>
      </w:r>
      <w:r w:rsidR="00C46FA4" w:rsidRPr="008221FF">
        <w:rPr>
          <w:rFonts w:eastAsiaTheme="minorHAnsi"/>
          <w:sz w:val="28"/>
          <w:szCs w:val="28"/>
          <w:lang w:eastAsia="en-US"/>
        </w:rPr>
        <w:t>сведений о субсидиях.</w:t>
      </w:r>
    </w:p>
    <w:p w:rsidR="00C46FA4" w:rsidRDefault="00C46FA4" w:rsidP="000E4D0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21FF">
        <w:rPr>
          <w:rFonts w:eastAsiaTheme="minorHAnsi"/>
          <w:sz w:val="28"/>
          <w:szCs w:val="28"/>
          <w:lang w:eastAsia="en-US"/>
        </w:rPr>
        <w:t>Данн</w:t>
      </w:r>
      <w:r w:rsidR="00425513">
        <w:rPr>
          <w:rFonts w:eastAsiaTheme="minorHAnsi"/>
          <w:sz w:val="28"/>
          <w:szCs w:val="28"/>
          <w:lang w:eastAsia="en-US"/>
        </w:rPr>
        <w:t>ые</w:t>
      </w:r>
      <w:r w:rsidRPr="008221FF">
        <w:rPr>
          <w:rFonts w:eastAsiaTheme="minorHAnsi"/>
          <w:sz w:val="28"/>
          <w:szCs w:val="28"/>
          <w:lang w:eastAsia="en-US"/>
        </w:rPr>
        <w:t xml:space="preserve"> норм</w:t>
      </w:r>
      <w:r w:rsidR="00425513">
        <w:rPr>
          <w:rFonts w:eastAsiaTheme="minorHAnsi"/>
          <w:sz w:val="28"/>
          <w:szCs w:val="28"/>
          <w:lang w:eastAsia="en-US"/>
        </w:rPr>
        <w:t>ы являю</w:t>
      </w:r>
      <w:r w:rsidRPr="008221FF">
        <w:rPr>
          <w:rFonts w:eastAsiaTheme="minorHAnsi"/>
          <w:sz w:val="28"/>
          <w:szCs w:val="28"/>
          <w:lang w:eastAsia="en-US"/>
        </w:rPr>
        <w:t>тся императивн</w:t>
      </w:r>
      <w:r w:rsidR="00425513">
        <w:rPr>
          <w:rFonts w:eastAsiaTheme="minorHAnsi"/>
          <w:sz w:val="28"/>
          <w:szCs w:val="28"/>
          <w:lang w:eastAsia="en-US"/>
        </w:rPr>
        <w:t>ыми</w:t>
      </w:r>
      <w:r w:rsidRPr="008221FF">
        <w:rPr>
          <w:rFonts w:eastAsiaTheme="minorHAnsi"/>
          <w:sz w:val="28"/>
          <w:szCs w:val="28"/>
          <w:lang w:eastAsia="en-US"/>
        </w:rPr>
        <w:t>, в связи с че</w:t>
      </w:r>
      <w:r>
        <w:rPr>
          <w:rFonts w:eastAsiaTheme="minorHAnsi"/>
          <w:sz w:val="28"/>
          <w:szCs w:val="28"/>
          <w:lang w:eastAsia="en-US"/>
        </w:rPr>
        <w:t xml:space="preserve">м, рекомендуем привести </w:t>
      </w:r>
      <w:r w:rsidR="00425513">
        <w:rPr>
          <w:sz w:val="28"/>
          <w:szCs w:val="28"/>
        </w:rPr>
        <w:t xml:space="preserve">пункты 1.7, 2.1, 2.14, абзац </w:t>
      </w:r>
      <w:r w:rsidR="00420714">
        <w:rPr>
          <w:sz w:val="28"/>
          <w:szCs w:val="28"/>
        </w:rPr>
        <w:t>пятнадцатый</w:t>
      </w:r>
      <w:r w:rsidR="00425513">
        <w:rPr>
          <w:sz w:val="28"/>
          <w:szCs w:val="28"/>
        </w:rPr>
        <w:t xml:space="preserve"> пункта 2.1 </w:t>
      </w:r>
      <w:r w:rsidRPr="008221FF">
        <w:rPr>
          <w:rFonts w:eastAsiaTheme="minorHAnsi"/>
          <w:sz w:val="28"/>
          <w:szCs w:val="28"/>
          <w:lang w:eastAsia="en-US"/>
        </w:rPr>
        <w:t xml:space="preserve">Порядка в соответствие </w:t>
      </w:r>
      <w:r w:rsidR="00425513">
        <w:rPr>
          <w:rFonts w:eastAsiaTheme="minorHAnsi"/>
          <w:sz w:val="28"/>
          <w:szCs w:val="28"/>
          <w:lang w:eastAsia="en-US"/>
        </w:rPr>
        <w:t xml:space="preserve">с указанными нормами </w:t>
      </w:r>
      <w:r w:rsidRPr="008221FF">
        <w:rPr>
          <w:rFonts w:eastAsiaTheme="minorHAnsi"/>
          <w:sz w:val="28"/>
          <w:szCs w:val="28"/>
          <w:lang w:eastAsia="en-US"/>
        </w:rPr>
        <w:t xml:space="preserve">Общих требований. </w:t>
      </w:r>
    </w:p>
    <w:p w:rsidR="00E752E8" w:rsidRDefault="00BE1936" w:rsidP="000E4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E752E8">
        <w:rPr>
          <w:sz w:val="28"/>
          <w:szCs w:val="28"/>
        </w:rPr>
        <w:t xml:space="preserve">Абзацем </w:t>
      </w:r>
      <w:r w:rsidR="00420714">
        <w:rPr>
          <w:sz w:val="28"/>
          <w:szCs w:val="28"/>
        </w:rPr>
        <w:t>третьим</w:t>
      </w:r>
      <w:r w:rsidR="00E752E8">
        <w:rPr>
          <w:sz w:val="28"/>
          <w:szCs w:val="28"/>
        </w:rPr>
        <w:t xml:space="preserve"> пункта 2.1 Порядка установлены положения об определении сроков проведения отбора в объявлении о проведении конкурса, в том числе:</w:t>
      </w:r>
    </w:p>
    <w:p w:rsidR="00E752E8" w:rsidRDefault="00E752E8" w:rsidP="000E4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время начала подачи (приёма) заявок участников отбора, которая не может быть меньше 30 календарных дней, следующих за днём размещения объявления о проведении отбора;</w:t>
      </w:r>
    </w:p>
    <w:p w:rsidR="00E752E8" w:rsidRDefault="00E752E8" w:rsidP="000E4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и время окончания подачи (приёма) заявок участников отбора, которая не может быть меньше 30 календарных дней, следующих за днём размещения объявления о проведении отбора.</w:t>
      </w:r>
    </w:p>
    <w:p w:rsidR="00E752E8" w:rsidRDefault="00E752E8" w:rsidP="000E4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При этом, согласно абзацам </w:t>
      </w:r>
      <w:r w:rsidR="00420714">
        <w:rPr>
          <w:sz w:val="28"/>
          <w:szCs w:val="28"/>
        </w:rPr>
        <w:t>треть</w:t>
      </w:r>
      <w:r w:rsidR="00A64FCB">
        <w:rPr>
          <w:sz w:val="28"/>
          <w:szCs w:val="28"/>
        </w:rPr>
        <w:t>ему</w:t>
      </w:r>
      <w:r w:rsidR="00420714">
        <w:rPr>
          <w:sz w:val="28"/>
          <w:szCs w:val="28"/>
        </w:rPr>
        <w:t xml:space="preserve"> и четвёрт</w:t>
      </w:r>
      <w:r w:rsidR="00A64FCB">
        <w:rPr>
          <w:sz w:val="28"/>
          <w:szCs w:val="28"/>
        </w:rPr>
        <w:t>ому</w:t>
      </w:r>
      <w:r>
        <w:rPr>
          <w:sz w:val="28"/>
          <w:szCs w:val="28"/>
        </w:rPr>
        <w:t xml:space="preserve"> подпункта «б» пункта 4 Общих требований минимальный срок в размере 30 календарных дней </w:t>
      </w:r>
      <w:r>
        <w:rPr>
          <w:rFonts w:eastAsiaTheme="minorHAnsi"/>
          <w:sz w:val="28"/>
          <w:szCs w:val="28"/>
          <w:lang w:eastAsia="en-US"/>
        </w:rPr>
        <w:t>следующих за днём размещения объявления о проведении отбора</w:t>
      </w:r>
      <w:r>
        <w:rPr>
          <w:sz w:val="28"/>
          <w:szCs w:val="28"/>
        </w:rPr>
        <w:t xml:space="preserve"> предусмотрен для установления </w:t>
      </w:r>
      <w:r>
        <w:rPr>
          <w:rFonts w:eastAsiaTheme="minorHAnsi"/>
          <w:sz w:val="28"/>
          <w:szCs w:val="28"/>
          <w:lang w:eastAsia="en-US"/>
        </w:rPr>
        <w:t>даты окончания приема предложений (заявок) участников отбора</w:t>
      </w:r>
      <w:r w:rsidR="007447F6">
        <w:rPr>
          <w:rFonts w:eastAsiaTheme="minorHAnsi"/>
          <w:sz w:val="28"/>
          <w:szCs w:val="28"/>
          <w:lang w:eastAsia="en-US"/>
        </w:rPr>
        <w:t xml:space="preserve">. </w:t>
      </w:r>
    </w:p>
    <w:p w:rsidR="00400A23" w:rsidRDefault="00400A23" w:rsidP="000E4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Кроме того, абзацы </w:t>
      </w:r>
      <w:r w:rsidR="00420714">
        <w:rPr>
          <w:rFonts w:eastAsiaTheme="minorHAnsi"/>
          <w:sz w:val="28"/>
          <w:szCs w:val="28"/>
          <w:lang w:eastAsia="en-US"/>
        </w:rPr>
        <w:t>третий и четвёртый</w:t>
      </w:r>
      <w:r>
        <w:rPr>
          <w:rFonts w:eastAsiaTheme="minorHAnsi"/>
          <w:sz w:val="28"/>
          <w:szCs w:val="28"/>
          <w:lang w:eastAsia="en-US"/>
        </w:rPr>
        <w:t xml:space="preserve"> пункта 2.1 Порядка </w:t>
      </w:r>
      <w:r w:rsidR="008B66BE">
        <w:rPr>
          <w:rFonts w:eastAsiaTheme="minorHAnsi"/>
          <w:sz w:val="28"/>
          <w:szCs w:val="28"/>
          <w:lang w:eastAsia="en-US"/>
        </w:rPr>
        <w:t>устанавливаю</w:t>
      </w:r>
      <w:r w:rsidR="0042496B">
        <w:rPr>
          <w:rFonts w:eastAsiaTheme="minorHAnsi"/>
          <w:sz w:val="28"/>
          <w:szCs w:val="28"/>
          <w:lang w:eastAsia="en-US"/>
        </w:rPr>
        <w:t>т</w:t>
      </w:r>
      <w:r w:rsidR="008B66BE">
        <w:rPr>
          <w:rFonts w:eastAsiaTheme="minorHAnsi"/>
          <w:sz w:val="28"/>
          <w:szCs w:val="28"/>
          <w:lang w:eastAsia="en-US"/>
        </w:rPr>
        <w:t xml:space="preserve"> </w:t>
      </w:r>
      <w:r w:rsidR="008B66BE">
        <w:rPr>
          <w:sz w:val="28"/>
          <w:szCs w:val="28"/>
        </w:rPr>
        <w:t>положения об определении сроков проведения отбора в объявлении о проведении конкурса,</w:t>
      </w:r>
      <w:r w:rsidR="0042496B">
        <w:rPr>
          <w:sz w:val="28"/>
          <w:szCs w:val="28"/>
        </w:rPr>
        <w:t xml:space="preserve"> и в тоже время имеют разночтения.</w:t>
      </w:r>
      <w:r w:rsidR="008B66BE">
        <w:rPr>
          <w:sz w:val="28"/>
          <w:szCs w:val="28"/>
        </w:rPr>
        <w:t xml:space="preserve"> </w:t>
      </w:r>
    </w:p>
    <w:p w:rsidR="007447F6" w:rsidRDefault="007447F6" w:rsidP="000E4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</w:t>
      </w:r>
      <w:r w:rsidR="0042496B">
        <w:rPr>
          <w:rFonts w:eastAsiaTheme="minorHAnsi"/>
          <w:sz w:val="28"/>
          <w:szCs w:val="28"/>
          <w:lang w:eastAsia="en-US"/>
        </w:rPr>
        <w:t>ые</w:t>
      </w:r>
      <w:r>
        <w:rPr>
          <w:rFonts w:eastAsiaTheme="minorHAnsi"/>
          <w:sz w:val="28"/>
          <w:szCs w:val="28"/>
          <w:lang w:eastAsia="en-US"/>
        </w:rPr>
        <w:t xml:space="preserve"> замечани</w:t>
      </w:r>
      <w:r w:rsidR="0042496B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60C3A" w:rsidRDefault="00C60C3A" w:rsidP="000E4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Согласно пункту 2.7 Порядка заявки СОНКО, поступившие в срок, установленный для их подачи, регистрируются главным распорядителем в порядке их поступления. Срок, в течение которого заявки подлежат регистрации, в Порядке не указан. </w:t>
      </w:r>
    </w:p>
    <w:p w:rsidR="00C60C3A" w:rsidRDefault="00C60C3A" w:rsidP="000E4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указанное замечание. </w:t>
      </w:r>
    </w:p>
    <w:p w:rsidR="00A1671A" w:rsidRDefault="00C60C3A" w:rsidP="000E4D0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Пунктом 2.11 Порядка определены критерии, по которым планируется оценка проектов СОНКО</w:t>
      </w:r>
      <w:r w:rsidR="00A1671A">
        <w:rPr>
          <w:rFonts w:eastAsiaTheme="minorHAnsi"/>
          <w:sz w:val="28"/>
          <w:szCs w:val="28"/>
          <w:lang w:eastAsia="en-US"/>
        </w:rPr>
        <w:t xml:space="preserve">, в том числе наличие материально-технической базы для реализации проекта и опыта в осуществлении деятельности по реализации проекта в направлении аналогичному представленному проекту. </w:t>
      </w:r>
    </w:p>
    <w:p w:rsidR="00330F5D" w:rsidRDefault="00330F5D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1671A">
        <w:rPr>
          <w:rFonts w:eastAsiaTheme="minorHAnsi"/>
          <w:sz w:val="28"/>
          <w:szCs w:val="28"/>
          <w:lang w:eastAsia="en-US"/>
        </w:rPr>
        <w:t xml:space="preserve">В тоже время, </w:t>
      </w:r>
      <w:r w:rsidR="00E6533C">
        <w:rPr>
          <w:rFonts w:eastAsiaTheme="minorHAnsi"/>
          <w:sz w:val="28"/>
          <w:szCs w:val="28"/>
          <w:lang w:eastAsia="en-US"/>
        </w:rPr>
        <w:t xml:space="preserve">пунктом 2.3 Порядка, которым установлены </w:t>
      </w:r>
      <w:r>
        <w:rPr>
          <w:rFonts w:eastAsiaTheme="minorHAnsi"/>
          <w:sz w:val="28"/>
          <w:szCs w:val="28"/>
          <w:lang w:eastAsia="en-US"/>
        </w:rPr>
        <w:t xml:space="preserve">требования к форме и содержанию заявок, подаваемых участниками отбора, не предусмотрены положения о предоставлении </w:t>
      </w:r>
      <w:r w:rsidR="0002358E">
        <w:rPr>
          <w:rFonts w:eastAsiaTheme="minorHAnsi"/>
          <w:sz w:val="28"/>
          <w:szCs w:val="28"/>
          <w:lang w:eastAsia="en-US"/>
        </w:rPr>
        <w:t>документов,</w:t>
      </w:r>
      <w:r>
        <w:rPr>
          <w:rFonts w:eastAsiaTheme="minorHAnsi"/>
          <w:sz w:val="28"/>
          <w:szCs w:val="28"/>
          <w:lang w:eastAsia="en-US"/>
        </w:rPr>
        <w:t xml:space="preserve"> подтверждающих</w:t>
      </w:r>
      <w:r w:rsidRPr="00330F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наличие материально-технической базы для реализации проекта и опыта в осуществлении деятельности по реализации проекта в направлении аналогичному представленному проекту.</w:t>
      </w:r>
    </w:p>
    <w:p w:rsidR="00330F5D" w:rsidRDefault="00330F5D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Пунктом 2.4 Порядка предусмотрено, что участник отбора может предоставить дополнительные материалы о деятельности организации, в том числе информацию о ранее реализованных проектах, заключенный договор аренды (субаренды, пользования) помещения, планируемого к использованию для достижения целей предоставления субсидии, или документ, гарантирующий заключение данного договора. </w:t>
      </w:r>
    </w:p>
    <w:p w:rsidR="00A358AA" w:rsidRDefault="00330F5D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учитывая установленные критерии оценки проектов СОНКО, представляется целесообразным предусмотреть в </w:t>
      </w:r>
      <w:r w:rsidR="00A358AA">
        <w:rPr>
          <w:rFonts w:eastAsiaTheme="minorHAnsi"/>
          <w:sz w:val="28"/>
          <w:szCs w:val="28"/>
          <w:lang w:eastAsia="en-US"/>
        </w:rPr>
        <w:t xml:space="preserve">подпункте 2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A358A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2.3 Порядка положения о </w:t>
      </w:r>
      <w:r w:rsidR="00A358AA">
        <w:rPr>
          <w:rFonts w:eastAsiaTheme="minorHAnsi"/>
          <w:sz w:val="28"/>
          <w:szCs w:val="28"/>
          <w:lang w:eastAsia="en-US"/>
        </w:rPr>
        <w:t xml:space="preserve">том, что проект СОНКО должен содержать также </w:t>
      </w:r>
      <w:r>
        <w:rPr>
          <w:rFonts w:eastAsiaTheme="minorHAnsi"/>
          <w:sz w:val="28"/>
          <w:szCs w:val="28"/>
          <w:lang w:eastAsia="en-US"/>
        </w:rPr>
        <w:t>документ</w:t>
      </w:r>
      <w:r w:rsidR="00A358AA">
        <w:rPr>
          <w:rFonts w:eastAsiaTheme="minorHAnsi"/>
          <w:sz w:val="28"/>
          <w:szCs w:val="28"/>
          <w:lang w:eastAsia="en-US"/>
        </w:rPr>
        <w:t>ы и информацию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A358AA">
        <w:rPr>
          <w:rFonts w:eastAsiaTheme="minorHAnsi"/>
          <w:sz w:val="28"/>
          <w:szCs w:val="28"/>
          <w:lang w:eastAsia="en-US"/>
        </w:rPr>
        <w:t xml:space="preserve">предусмотренные в пункте 2.4 Порядка. </w:t>
      </w:r>
    </w:p>
    <w:p w:rsidR="00330F5D" w:rsidRDefault="00A358AA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Также необходимо отметить, что у участника отбора могут иметься помещения, планируемые к использованию для достижения целей предоставления субсидии, как на праве аренды (субаренды, пользования), так и на праве собственности.</w:t>
      </w:r>
    </w:p>
    <w:p w:rsidR="00A358AA" w:rsidRDefault="00A358AA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устранить замечание.</w:t>
      </w:r>
    </w:p>
    <w:p w:rsidR="00A358AA" w:rsidRDefault="00A358AA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5. </w:t>
      </w:r>
      <w:r w:rsidR="0027067A">
        <w:rPr>
          <w:rFonts w:eastAsiaTheme="minorHAnsi"/>
          <w:sz w:val="28"/>
          <w:szCs w:val="28"/>
          <w:lang w:eastAsia="en-US"/>
        </w:rPr>
        <w:t>Пунктом 3.3 Порядка предусмотрено, что решение о размере предоставляемой субсидии победителю (победителям) конкурсного отбора принимается главным распорядителем на основании рекомендации конкурсной комиссии об определении числа победителей конкурсного отбора в течение 10 рабочих дней. При этом,</w:t>
      </w:r>
      <w:r w:rsidR="006A60FB">
        <w:rPr>
          <w:rFonts w:eastAsiaTheme="minorHAnsi"/>
          <w:sz w:val="28"/>
          <w:szCs w:val="28"/>
          <w:lang w:eastAsia="en-US"/>
        </w:rPr>
        <w:t xml:space="preserve"> момент, с которого начинается течение срока, установленного для принятия решения, </w:t>
      </w:r>
      <w:r w:rsidR="0027067A">
        <w:rPr>
          <w:rFonts w:eastAsiaTheme="minorHAnsi"/>
          <w:sz w:val="28"/>
          <w:szCs w:val="28"/>
          <w:lang w:eastAsia="en-US"/>
        </w:rPr>
        <w:t xml:space="preserve">Проектом не обозначен. </w:t>
      </w:r>
    </w:p>
    <w:p w:rsidR="006A60FB" w:rsidRDefault="006A60FB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Следует отметить, что неопределенность сроков, условий принятия решения является коррупциогенным фактором, в связи с чем, рекомендуем устранить замечание. </w:t>
      </w:r>
    </w:p>
    <w:p w:rsidR="006A60FB" w:rsidRDefault="006A60FB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6. П</w:t>
      </w:r>
      <w:r w:rsidR="00C76493">
        <w:rPr>
          <w:rFonts w:eastAsiaTheme="minorHAnsi"/>
          <w:sz w:val="28"/>
          <w:szCs w:val="28"/>
          <w:lang w:eastAsia="en-US"/>
        </w:rPr>
        <w:t>одпунктом 1 п</w:t>
      </w:r>
      <w:r>
        <w:rPr>
          <w:rFonts w:eastAsiaTheme="minorHAnsi"/>
          <w:sz w:val="28"/>
          <w:szCs w:val="28"/>
          <w:lang w:eastAsia="en-US"/>
        </w:rPr>
        <w:t>ункт</w:t>
      </w:r>
      <w:r w:rsidR="0042071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3.4</w:t>
      </w:r>
      <w:r w:rsidR="00B45CC1">
        <w:rPr>
          <w:rFonts w:eastAsiaTheme="minorHAnsi"/>
          <w:sz w:val="28"/>
          <w:szCs w:val="28"/>
          <w:lang w:eastAsia="en-US"/>
        </w:rPr>
        <w:t xml:space="preserve"> Порядка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76493">
        <w:rPr>
          <w:rFonts w:eastAsiaTheme="minorHAnsi"/>
          <w:sz w:val="28"/>
          <w:szCs w:val="28"/>
          <w:lang w:eastAsia="en-US"/>
        </w:rPr>
        <w:t xml:space="preserve">в качестве основания для отказа в предоставлении субсидии является несоответствие участника конкурсного отбора требованиям, установленным в пункте 2.2 и (или) непредставление </w:t>
      </w:r>
      <w:r w:rsidR="00C76493">
        <w:rPr>
          <w:rFonts w:eastAsiaTheme="minorHAnsi"/>
          <w:sz w:val="28"/>
          <w:szCs w:val="28"/>
          <w:lang w:eastAsia="en-US"/>
        </w:rPr>
        <w:lastRenderedPageBreak/>
        <w:t xml:space="preserve">(предоставление не в полном объёме) документов, определённых пунктом 2.3 Порядка. </w:t>
      </w:r>
    </w:p>
    <w:p w:rsidR="00B45CC1" w:rsidRDefault="00C76493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Следует отметить, что в соответствии с подпунктами 1, 2 пункта 2.9 Порядка указанные случаи являются основанием для отклонения заявок СОНКО, о чём главный распорядитель уведомляет соответствующую организацию в срок, установленный абзацем 2 пункта 2.10 Порядка. </w:t>
      </w:r>
    </w:p>
    <w:p w:rsidR="00B45CC1" w:rsidRDefault="00B45CC1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Таким образом, рекомендуем исключить подпункт 1 пункта 3.4 Порядка. </w:t>
      </w:r>
    </w:p>
    <w:p w:rsidR="00C76493" w:rsidRDefault="00B45CC1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7. Согласно пункту 3.5 Порядка главный распорядитель в течение 10 рабочих дней со дня принятия </w:t>
      </w:r>
      <w:r w:rsidRPr="00B45CC1">
        <w:rPr>
          <w:rFonts w:eastAsiaTheme="minorHAnsi"/>
          <w:sz w:val="28"/>
          <w:szCs w:val="28"/>
          <w:u w:val="single"/>
          <w:lang w:eastAsia="en-US"/>
        </w:rPr>
        <w:t>решения о предоставлении субсидии</w:t>
      </w:r>
      <w:r>
        <w:rPr>
          <w:rFonts w:eastAsiaTheme="minorHAnsi"/>
          <w:sz w:val="28"/>
          <w:szCs w:val="28"/>
          <w:lang w:eastAsia="en-US"/>
        </w:rPr>
        <w:t xml:space="preserve">, направляет получателю субсидии проект соглашения. </w:t>
      </w:r>
      <w:r w:rsidR="00C76493">
        <w:rPr>
          <w:rFonts w:eastAsiaTheme="minorHAnsi"/>
          <w:sz w:val="28"/>
          <w:szCs w:val="28"/>
          <w:lang w:eastAsia="en-US"/>
        </w:rPr>
        <w:t xml:space="preserve">   </w:t>
      </w:r>
    </w:p>
    <w:p w:rsidR="00B45CC1" w:rsidRDefault="00B45CC1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пунктом 3.3 Порядка главный распорядитель принимает решение о размере субсидии. </w:t>
      </w:r>
    </w:p>
    <w:p w:rsidR="003002ED" w:rsidRDefault="00B45CC1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целях устранения разночтения и </w:t>
      </w:r>
      <w:r w:rsidR="003002ED">
        <w:rPr>
          <w:rFonts w:eastAsiaTheme="minorHAnsi"/>
          <w:sz w:val="28"/>
          <w:szCs w:val="28"/>
          <w:lang w:eastAsia="en-US"/>
        </w:rPr>
        <w:t>исключения неопределённости в наименованиях решений, принимаемых главным распорядителем, рекомендуем наименования решений привести к единообразию, либо, в случае если планируется принятие главным распорядителем двух решений: о размере субсидии и о предоставлении субсидии, предусмотреть срок для принятия решения о предоставлении субсидии.</w:t>
      </w:r>
    </w:p>
    <w:p w:rsidR="00BD44AB" w:rsidRDefault="003002ED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8. Абзацем </w:t>
      </w:r>
      <w:r w:rsidR="00420714">
        <w:rPr>
          <w:rFonts w:eastAsiaTheme="minorHAnsi"/>
          <w:sz w:val="28"/>
          <w:szCs w:val="28"/>
          <w:lang w:eastAsia="en-US"/>
        </w:rPr>
        <w:t>третьим</w:t>
      </w:r>
      <w:r>
        <w:rPr>
          <w:rFonts w:eastAsiaTheme="minorHAnsi"/>
          <w:sz w:val="28"/>
          <w:szCs w:val="28"/>
          <w:lang w:eastAsia="en-US"/>
        </w:rPr>
        <w:t xml:space="preserve"> пункта 3.5 Порядка </w:t>
      </w:r>
      <w:r w:rsidR="00BD44AB">
        <w:rPr>
          <w:rFonts w:eastAsiaTheme="minorHAnsi"/>
          <w:sz w:val="28"/>
          <w:szCs w:val="28"/>
          <w:lang w:eastAsia="en-US"/>
        </w:rPr>
        <w:t xml:space="preserve">предусмотрено, что в случае невозврата соглашения главному распорядителю в течение трёх рабочих дней со дня получения </w:t>
      </w:r>
      <w:r w:rsidR="00BD44AB" w:rsidRPr="00BD44AB">
        <w:rPr>
          <w:rFonts w:eastAsiaTheme="minorHAnsi"/>
          <w:sz w:val="28"/>
          <w:szCs w:val="28"/>
          <w:u w:val="single"/>
          <w:lang w:eastAsia="en-US"/>
        </w:rPr>
        <w:t>извещения</w:t>
      </w:r>
      <w:r w:rsidR="00BD44AB">
        <w:rPr>
          <w:rFonts w:eastAsiaTheme="minorHAnsi"/>
          <w:sz w:val="28"/>
          <w:szCs w:val="28"/>
          <w:lang w:eastAsia="en-US"/>
        </w:rPr>
        <w:t xml:space="preserve"> получатель субсидии считается уклонившимся от заключения соглашения. При этом, Порядком не предусмотрено направление получателю субсидии какого-либо извещения</w:t>
      </w:r>
      <w:r w:rsidR="00C036B2">
        <w:rPr>
          <w:rFonts w:eastAsiaTheme="minorHAnsi"/>
          <w:sz w:val="28"/>
          <w:szCs w:val="28"/>
          <w:lang w:eastAsia="en-US"/>
        </w:rPr>
        <w:t>, что порождает в нём неопределённость</w:t>
      </w:r>
      <w:r w:rsidR="00BD44AB">
        <w:rPr>
          <w:rFonts w:eastAsiaTheme="minorHAnsi"/>
          <w:sz w:val="28"/>
          <w:szCs w:val="28"/>
          <w:lang w:eastAsia="en-US"/>
        </w:rPr>
        <w:t xml:space="preserve">. Вероятнее всего, под извещением понимается направление получателю субсидии проекта соглашения, упомянутого в абзаце </w:t>
      </w:r>
      <w:r w:rsidR="00420714">
        <w:rPr>
          <w:rFonts w:eastAsiaTheme="minorHAnsi"/>
          <w:sz w:val="28"/>
          <w:szCs w:val="28"/>
          <w:lang w:eastAsia="en-US"/>
        </w:rPr>
        <w:t>первом</w:t>
      </w:r>
      <w:r w:rsidR="00BD44AB">
        <w:rPr>
          <w:rFonts w:eastAsiaTheme="minorHAnsi"/>
          <w:sz w:val="28"/>
          <w:szCs w:val="28"/>
          <w:lang w:eastAsia="en-US"/>
        </w:rPr>
        <w:t xml:space="preserve"> пункта 3.5. </w:t>
      </w:r>
    </w:p>
    <w:p w:rsidR="00BD44AB" w:rsidRDefault="00BD44AB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Рекомендуем устранить указанное замечание.  </w:t>
      </w:r>
    </w:p>
    <w:p w:rsidR="002F04E7" w:rsidRDefault="00BD44AB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9. </w:t>
      </w:r>
      <w:r w:rsidR="00E90021">
        <w:rPr>
          <w:rFonts w:eastAsiaTheme="minorHAnsi"/>
          <w:sz w:val="28"/>
          <w:szCs w:val="28"/>
          <w:lang w:eastAsia="en-US"/>
        </w:rPr>
        <w:t>В целях приведения пункта 3.9 Порядка в соответствие подпункту «к» пункта 5 Общих требований, рекомендуем дополнить указанный пункт Порядка словами «приводящего к невозможности предоставления субсидии в размере, определенном в соглашении».</w:t>
      </w:r>
    </w:p>
    <w:p w:rsidR="00BD44AB" w:rsidRDefault="002F04E7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10. </w:t>
      </w:r>
      <w:r w:rsidR="00E90021">
        <w:rPr>
          <w:rFonts w:eastAsiaTheme="minorHAnsi"/>
          <w:sz w:val="28"/>
          <w:szCs w:val="28"/>
          <w:lang w:eastAsia="en-US"/>
        </w:rPr>
        <w:t>В целях приведения пункта 3.10 Порядка в соответствие подпункту 5 пункта 3 статьи 78 Бюджетного кодекса Российской Федерации рекомендуем в указанном пункте Порядка после слов «Главным распорядителем» исключить слова «и органами муниципального финансового контроля».</w:t>
      </w:r>
    </w:p>
    <w:p w:rsidR="00780EF2" w:rsidRDefault="00E90021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80EF2">
        <w:rPr>
          <w:rFonts w:eastAsiaTheme="minorHAnsi"/>
          <w:sz w:val="28"/>
          <w:szCs w:val="28"/>
          <w:lang w:eastAsia="en-US"/>
        </w:rPr>
        <w:t>11. Согласно абзацу второму подпункта «а» пункта 9 Общих требований правовой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услуг, содержит положения о направлениях расходов, источником финансового обеспечения которых является субсидия.</w:t>
      </w:r>
    </w:p>
    <w:p w:rsidR="00780EF2" w:rsidRDefault="00780EF2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Проекте указанные положения отсутствуют, в связи с чем, рекомендуем устранить замечание. </w:t>
      </w:r>
    </w:p>
    <w:p w:rsidR="007C5802" w:rsidRDefault="00780EF2" w:rsidP="000E4D02">
      <w:pPr>
        <w:autoSpaceDE w:val="0"/>
        <w:autoSpaceDN w:val="0"/>
        <w:adjustRightInd w:val="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  <w:t>12</w:t>
      </w:r>
      <w:r w:rsidR="00E90021">
        <w:rPr>
          <w:rFonts w:eastAsiaTheme="minorHAnsi"/>
          <w:sz w:val="28"/>
          <w:szCs w:val="28"/>
          <w:lang w:eastAsia="en-US"/>
        </w:rPr>
        <w:t>. В</w:t>
      </w:r>
      <w:r w:rsidR="00312F83">
        <w:rPr>
          <w:sz w:val="28"/>
        </w:rPr>
        <w:t xml:space="preserve"> соответствии </w:t>
      </w:r>
      <w:r w:rsidR="00E90021">
        <w:rPr>
          <w:sz w:val="28"/>
        </w:rPr>
        <w:t xml:space="preserve">с </w:t>
      </w:r>
      <w:r w:rsidR="007C5802">
        <w:rPr>
          <w:sz w:val="28"/>
        </w:rPr>
        <w:t>абзацем третьим подпункта «а» пункта 9 Общих требований п</w:t>
      </w:r>
      <w:r w:rsidR="007C5802" w:rsidRPr="007C5802">
        <w:rPr>
          <w:sz w:val="28"/>
        </w:rPr>
        <w:t xml:space="preserve">равовой акт, регулирующий предоставление субсидий на финансовое обеспечение затрат в связи с производством (реализацией) товаров, выполнением </w:t>
      </w:r>
      <w:r w:rsidR="007C5802" w:rsidRPr="007C5802">
        <w:rPr>
          <w:sz w:val="28"/>
        </w:rPr>
        <w:lastRenderedPageBreak/>
        <w:t>работ, оказанием услуг содержит положения в части, касающейся условий и порядка предоставления субсидий</w:t>
      </w:r>
      <w:r w:rsidR="007C5802">
        <w:rPr>
          <w:sz w:val="28"/>
        </w:rPr>
        <w:t xml:space="preserve">, </w:t>
      </w:r>
      <w:r w:rsidR="007C5802" w:rsidRPr="007C5802">
        <w:rPr>
          <w:sz w:val="28"/>
        </w:rPr>
        <w:t xml:space="preserve">о запрете приобретения получателями субсидий - юридическими лицами, </w:t>
      </w:r>
      <w:r w:rsidR="007C5802" w:rsidRPr="00397CC3">
        <w:rPr>
          <w:i/>
          <w:sz w:val="28"/>
        </w:rPr>
        <w:t>а также иными юридическими лицами, получающими средства на основании договоров, заключенных с получателями субсидий</w:t>
      </w:r>
      <w:r w:rsidR="007C5802" w:rsidRPr="007C5802">
        <w:rPr>
          <w:sz w:val="28"/>
        </w:rPr>
        <w:t>, за сч</w:t>
      </w:r>
      <w:r w:rsidR="007C5802">
        <w:rPr>
          <w:sz w:val="28"/>
        </w:rPr>
        <w:t>ё</w:t>
      </w:r>
      <w:r w:rsidR="007C5802" w:rsidRPr="007C5802">
        <w:rPr>
          <w:sz w:val="28"/>
        </w:rPr>
        <w:t>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</w:t>
      </w:r>
      <w:r w:rsidR="007C5802">
        <w:rPr>
          <w:sz w:val="28"/>
        </w:rPr>
        <w:t>ё</w:t>
      </w:r>
      <w:r w:rsidR="007C5802" w:rsidRPr="007C5802">
        <w:rPr>
          <w:sz w:val="28"/>
        </w:rPr>
        <w:t>нных правовым актом</w:t>
      </w:r>
      <w:r w:rsidR="007C5802">
        <w:rPr>
          <w:sz w:val="28"/>
        </w:rPr>
        <w:t>.</w:t>
      </w:r>
      <w:r w:rsidR="007C5802" w:rsidRPr="007C5802">
        <w:rPr>
          <w:sz w:val="28"/>
        </w:rPr>
        <w:t xml:space="preserve"> </w:t>
      </w:r>
    </w:p>
    <w:p w:rsidR="00E90021" w:rsidRPr="00E90021" w:rsidRDefault="00E90021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 xml:space="preserve">В Проекте отсутствуют </w:t>
      </w:r>
      <w:r w:rsidR="00780EF2">
        <w:rPr>
          <w:sz w:val="28"/>
        </w:rPr>
        <w:t>положения об указанном</w:t>
      </w:r>
      <w:r>
        <w:rPr>
          <w:sz w:val="28"/>
        </w:rPr>
        <w:t xml:space="preserve"> запрет</w:t>
      </w:r>
      <w:r w:rsidR="00780EF2">
        <w:rPr>
          <w:sz w:val="28"/>
        </w:rPr>
        <w:t>е</w:t>
      </w:r>
      <w:r>
        <w:rPr>
          <w:sz w:val="28"/>
        </w:rPr>
        <w:t xml:space="preserve"> в отношении </w:t>
      </w:r>
      <w:r w:rsidRPr="00780EF2">
        <w:rPr>
          <w:sz w:val="28"/>
        </w:rPr>
        <w:t>юридически</w:t>
      </w:r>
      <w:r w:rsidR="00780EF2">
        <w:rPr>
          <w:sz w:val="28"/>
        </w:rPr>
        <w:t>х</w:t>
      </w:r>
      <w:r w:rsidRPr="00780EF2">
        <w:rPr>
          <w:sz w:val="28"/>
        </w:rPr>
        <w:t xml:space="preserve"> лиц, получающи</w:t>
      </w:r>
      <w:r w:rsidR="00780EF2">
        <w:rPr>
          <w:sz w:val="28"/>
        </w:rPr>
        <w:t>х</w:t>
      </w:r>
      <w:r w:rsidRPr="00780EF2">
        <w:rPr>
          <w:sz w:val="28"/>
        </w:rPr>
        <w:t xml:space="preserve"> средства на основании договоров, заключенных с получателями субсидий</w:t>
      </w:r>
      <w:r w:rsidR="00780EF2">
        <w:rPr>
          <w:sz w:val="28"/>
        </w:rPr>
        <w:t>.</w:t>
      </w:r>
      <w:r>
        <w:rPr>
          <w:sz w:val="28"/>
        </w:rPr>
        <w:t xml:space="preserve"> </w:t>
      </w:r>
    </w:p>
    <w:p w:rsidR="00780EF2" w:rsidRDefault="007C5802" w:rsidP="000E4D02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</w:t>
      </w:r>
      <w:r w:rsidR="00780EF2">
        <w:rPr>
          <w:sz w:val="28"/>
        </w:rPr>
        <w:t>устранить замечание.</w:t>
      </w:r>
    </w:p>
    <w:p w:rsidR="00E25787" w:rsidRDefault="00E25787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  <w:t>13. Согласно абзацу пятому подпункта «а» пункта 9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 правовой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услуг, содержит положения в части, касающейся условий и порядка предоставления субсидий о перечислении субсидии на расчётные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E25787" w:rsidRDefault="00E25787" w:rsidP="000E4D02">
      <w:pPr>
        <w:autoSpaceDE w:val="0"/>
        <w:autoSpaceDN w:val="0"/>
        <w:adjustRightInd w:val="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ab/>
        <w:t>Порядком указанные положения не предусмотрены. Рекомендуем устранить замечание.</w:t>
      </w:r>
    </w:p>
    <w:p w:rsidR="007C5802" w:rsidRPr="007C5802" w:rsidRDefault="00E25787" w:rsidP="000E4D02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14</w:t>
      </w:r>
      <w:r w:rsidR="00780EF2">
        <w:rPr>
          <w:sz w:val="28"/>
        </w:rPr>
        <w:t xml:space="preserve">. </w:t>
      </w:r>
      <w:r w:rsidR="007C5802" w:rsidRPr="007C5802">
        <w:rPr>
          <w:sz w:val="28"/>
          <w:szCs w:val="28"/>
        </w:rPr>
        <w:t xml:space="preserve">В соответствии с подпунктом «б» пункта 9 Общих требований </w:t>
      </w:r>
      <w:r w:rsidR="007C5802">
        <w:rPr>
          <w:sz w:val="28"/>
          <w:szCs w:val="28"/>
        </w:rPr>
        <w:t>п</w:t>
      </w:r>
      <w:r w:rsidR="007C5802" w:rsidRPr="007C5802">
        <w:rPr>
          <w:sz w:val="28"/>
          <w:szCs w:val="28"/>
        </w:rPr>
        <w:t>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</w:t>
      </w:r>
      <w:r w:rsidR="007C5802">
        <w:rPr>
          <w:sz w:val="28"/>
          <w:szCs w:val="28"/>
        </w:rPr>
        <w:t xml:space="preserve"> </w:t>
      </w:r>
      <w:r w:rsidR="007C5802" w:rsidRPr="007C5802">
        <w:rPr>
          <w:sz w:val="28"/>
          <w:szCs w:val="28"/>
        </w:rPr>
        <w:t>содер</w:t>
      </w:r>
      <w:r w:rsidR="007C5802">
        <w:rPr>
          <w:sz w:val="28"/>
          <w:szCs w:val="28"/>
        </w:rPr>
        <w:t>жит положения</w:t>
      </w:r>
      <w:r w:rsidR="007C5802" w:rsidRPr="007C5802">
        <w:rPr>
          <w:sz w:val="28"/>
          <w:szCs w:val="28"/>
        </w:rPr>
        <w:t xml:space="preserve"> в части, касающейся требований об осуществлении контроля за соблюдением условий и порядка предоставления субсидий и ответственности за их нарушение, о порядке и сроках возврата </w:t>
      </w:r>
      <w:r w:rsidR="007C5802" w:rsidRPr="00397CC3">
        <w:rPr>
          <w:i/>
          <w:sz w:val="28"/>
          <w:szCs w:val="28"/>
        </w:rPr>
        <w:t>средств, полученных на основании договоров, заключенных с получателями субсидий</w:t>
      </w:r>
      <w:r w:rsidR="007C5802" w:rsidRPr="007C5802">
        <w:rPr>
          <w:sz w:val="28"/>
          <w:szCs w:val="28"/>
        </w:rPr>
        <w:t xml:space="preserve">, в бюджет бюджетной системы Российской Федерации, из которого планируется предоставление субсидии в соответствии с правовым актом. </w:t>
      </w:r>
    </w:p>
    <w:p w:rsidR="007C5802" w:rsidRDefault="00566BEB" w:rsidP="000E4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раздел </w:t>
      </w:r>
      <w:r w:rsidR="00397CC3">
        <w:rPr>
          <w:sz w:val="28"/>
          <w:szCs w:val="28"/>
        </w:rPr>
        <w:t>5</w:t>
      </w:r>
      <w:r>
        <w:rPr>
          <w:sz w:val="28"/>
          <w:szCs w:val="28"/>
        </w:rPr>
        <w:t xml:space="preserve"> Порядка привести в соответствие с </w:t>
      </w:r>
      <w:r w:rsidRPr="007C5802">
        <w:rPr>
          <w:sz w:val="28"/>
          <w:szCs w:val="28"/>
        </w:rPr>
        <w:t>подпунктом «б» пункта 9 Общих требований</w:t>
      </w:r>
      <w:r>
        <w:rPr>
          <w:sz w:val="28"/>
          <w:szCs w:val="28"/>
        </w:rPr>
        <w:t xml:space="preserve">. </w:t>
      </w:r>
    </w:p>
    <w:p w:rsidR="006B1F27" w:rsidRDefault="00C53F29" w:rsidP="000E4D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25787">
        <w:rPr>
          <w:sz w:val="28"/>
          <w:szCs w:val="28"/>
        </w:rPr>
        <w:t>5</w:t>
      </w:r>
      <w:r w:rsidR="006B1F27">
        <w:rPr>
          <w:sz w:val="28"/>
          <w:szCs w:val="28"/>
        </w:rPr>
        <w:t xml:space="preserve">. </w:t>
      </w:r>
      <w:r w:rsidR="006B1F27">
        <w:rPr>
          <w:rFonts w:eastAsiaTheme="minorHAnsi"/>
          <w:sz w:val="28"/>
          <w:szCs w:val="28"/>
          <w:lang w:eastAsia="en-US"/>
        </w:rPr>
        <w:t xml:space="preserve">Согласно статье 13.1 Федерального закона от 12.01.1996 № 7-ФЗ «О некоммерческих организациях» некоммерческая организация подлежит государственной регистрации в соответствии с Федеральным </w:t>
      </w:r>
      <w:hyperlink r:id="rId9" w:history="1">
        <w:r w:rsidR="006B1F27" w:rsidRPr="006B1F2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6B1F27">
        <w:rPr>
          <w:rFonts w:eastAsiaTheme="minorHAnsi"/>
          <w:sz w:val="28"/>
          <w:szCs w:val="28"/>
          <w:lang w:eastAsia="en-US"/>
        </w:rPr>
        <w:t xml:space="preserve"> </w:t>
      </w:r>
      <w:r w:rsidR="006B1F27">
        <w:rPr>
          <w:rFonts w:eastAsiaTheme="minorHAnsi"/>
          <w:sz w:val="28"/>
          <w:szCs w:val="28"/>
          <w:lang w:eastAsia="en-US"/>
        </w:rPr>
        <w:br/>
        <w:t xml:space="preserve">от 08.08.2001 № 129-ФЗ «О государственной регистрации юридических лиц и индивидуальных предпринимателей» (далее – Федеральный закон от 08.08.2001 </w:t>
      </w:r>
      <w:r w:rsidR="006B1F27">
        <w:rPr>
          <w:rFonts w:eastAsiaTheme="minorHAnsi"/>
          <w:sz w:val="28"/>
          <w:szCs w:val="28"/>
          <w:lang w:eastAsia="en-US"/>
        </w:rPr>
        <w:br/>
        <w:t>№ 129-ФЗ).</w:t>
      </w:r>
    </w:p>
    <w:p w:rsidR="006B1F27" w:rsidRDefault="006B1F27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Пунктом 1 статьи 6 Федерального закона от 08.08.2001 № 129-ФЗ предусмотрено, что  содержащиеся в государственных реестрах сведения и документы являются открытыми и общедоступными, за исключением сведений,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доступ к которым ограничен в соответствии с </w:t>
      </w:r>
      <w:hyperlink r:id="rId10" w:history="1">
        <w:r w:rsidRPr="006B1F27">
          <w:rPr>
            <w:rFonts w:eastAsiaTheme="minorHAnsi"/>
            <w:sz w:val="28"/>
            <w:szCs w:val="28"/>
            <w:lang w:eastAsia="en-US"/>
          </w:rPr>
          <w:t>абзацами вторым</w:t>
        </w:r>
      </w:hyperlink>
      <w:r w:rsidRPr="006B1F27"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6B1F27">
          <w:rPr>
            <w:rFonts w:eastAsiaTheme="minorHAnsi"/>
            <w:sz w:val="28"/>
            <w:szCs w:val="28"/>
            <w:lang w:eastAsia="en-US"/>
          </w:rPr>
          <w:t>третьим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пункта.</w:t>
      </w:r>
    </w:p>
    <w:p w:rsidR="006B1F27" w:rsidRDefault="006B1F27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На основании изложенного, в</w:t>
      </w:r>
      <w:r>
        <w:rPr>
          <w:sz w:val="28"/>
          <w:szCs w:val="28"/>
        </w:rPr>
        <w:t xml:space="preserve"> приложении 1 к Порядку рекомендуем исключить слова «Я согласен на обработку персональных данных в соответствии с Федеральным законом от 27.07.2006 № 152-ФЗ «О персональных данных»», поскольку субсидии предоставляются социально ориентированным некоммерческим организациям, следовательно, заявление на участие в конкурсном отборе составляется от организации, а не физического лица.</w:t>
      </w:r>
    </w:p>
    <w:p w:rsidR="004C11A2" w:rsidRDefault="006B1F27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25787">
        <w:rPr>
          <w:sz w:val="28"/>
          <w:szCs w:val="28"/>
        </w:rPr>
        <w:t>6</w:t>
      </w:r>
      <w:r>
        <w:rPr>
          <w:sz w:val="28"/>
          <w:szCs w:val="28"/>
        </w:rPr>
        <w:t>. В приложении 5 к Порядку</w:t>
      </w:r>
      <w:r w:rsidRPr="006B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 исключить слова </w:t>
      </w:r>
      <w:r w:rsidR="000E4D02">
        <w:rPr>
          <w:sz w:val="28"/>
          <w:szCs w:val="28"/>
        </w:rPr>
        <w:br/>
      </w:r>
      <w:r>
        <w:rPr>
          <w:sz w:val="28"/>
          <w:szCs w:val="28"/>
        </w:rPr>
        <w:t xml:space="preserve">«В соответствии с Федеральным законом от 27 июля 2006 года № 152-ФЗ </w:t>
      </w:r>
      <w:r w:rsidR="000E4D02">
        <w:rPr>
          <w:sz w:val="28"/>
          <w:szCs w:val="28"/>
        </w:rPr>
        <w:br/>
      </w:r>
      <w:r>
        <w:rPr>
          <w:sz w:val="28"/>
          <w:szCs w:val="28"/>
        </w:rPr>
        <w:t xml:space="preserve">«О персональных данных», со статьёй 152.1 Гражданского кодекса Российской Федерации» по основаниям отражённым в пункте 14 настоящего заключения. </w:t>
      </w:r>
    </w:p>
    <w:p w:rsidR="004C11A2" w:rsidRDefault="004C11A2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25787">
        <w:rPr>
          <w:sz w:val="28"/>
          <w:szCs w:val="28"/>
        </w:rPr>
        <w:t>7</w:t>
      </w:r>
      <w:r>
        <w:rPr>
          <w:sz w:val="28"/>
          <w:szCs w:val="28"/>
        </w:rPr>
        <w:t xml:space="preserve">. В приложении 5 к порядку имеется несогласованность его отдельных частей, а именно: согласно </w:t>
      </w:r>
      <w:r w:rsidR="0002358E">
        <w:rPr>
          <w:sz w:val="28"/>
          <w:szCs w:val="28"/>
        </w:rPr>
        <w:t>наименованию приложения,</w:t>
      </w:r>
      <w:r>
        <w:rPr>
          <w:sz w:val="28"/>
          <w:szCs w:val="28"/>
        </w:rPr>
        <w:t xml:space="preserve"> согласие предоставляется на публикацию (размещение) в сити Интернет информации об участнике конкурса, тогда как в тексте приложения предполагается дача согласия на осуществление администрацией города Нефтеюганска обязательных проверок достоверности сведений и документов, предоставленных участником конкурса.</w:t>
      </w:r>
    </w:p>
    <w:p w:rsidR="004C11A2" w:rsidRDefault="004C11A2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Рекомендуем устранить замечание. </w:t>
      </w:r>
    </w:p>
    <w:p w:rsidR="00456446" w:rsidRDefault="004C11A2" w:rsidP="000E4D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257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456446">
        <w:rPr>
          <w:sz w:val="28"/>
          <w:szCs w:val="28"/>
        </w:rPr>
        <w:t xml:space="preserve">Пунктом 2.6 Положения о конкурсной комиссии по отбору социально значимых услуг, оказываемых социально ориентированно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 культуры (далее - Положение) установлен порядок оформления решения об определении числа победителей конкурсного отбора. </w:t>
      </w:r>
      <w:r w:rsidR="0002358E">
        <w:rPr>
          <w:sz w:val="28"/>
          <w:szCs w:val="28"/>
        </w:rPr>
        <w:t>В частности,</w:t>
      </w:r>
      <w:r w:rsidR="00456446">
        <w:rPr>
          <w:sz w:val="28"/>
          <w:szCs w:val="28"/>
        </w:rPr>
        <w:t xml:space="preserve"> предусмотрено, что указанное решение оформляется протоколом, который подписывается председателем, членами комиссии по отбору СОНКО. </w:t>
      </w:r>
    </w:p>
    <w:p w:rsidR="006B1F27" w:rsidRDefault="00456446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Рекомендуем в пункте 2.6 Положения после слов «членами комиссии» дополнить словами «присутствующими на заседании», так как возможны случаи, при которых не все члены комиссии присутствуют на её заседании.   </w:t>
      </w:r>
      <w:r w:rsidR="004C11A2">
        <w:rPr>
          <w:sz w:val="28"/>
          <w:szCs w:val="28"/>
        </w:rPr>
        <w:t xml:space="preserve"> </w:t>
      </w:r>
      <w:r w:rsidR="006B1F27">
        <w:rPr>
          <w:sz w:val="28"/>
          <w:szCs w:val="28"/>
        </w:rPr>
        <w:t xml:space="preserve"> </w:t>
      </w:r>
    </w:p>
    <w:p w:rsidR="006B1F27" w:rsidRDefault="00456446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E25787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 Пункт</w:t>
      </w:r>
      <w:r w:rsidR="00701AEF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2.8 Положения </w:t>
      </w:r>
      <w:r w:rsidR="00701AEF">
        <w:rPr>
          <w:rFonts w:eastAsiaTheme="minorHAnsi"/>
          <w:sz w:val="28"/>
          <w:szCs w:val="28"/>
          <w:lang w:eastAsia="en-US"/>
        </w:rPr>
        <w:t>предусмотрены случаи, при которых заявки участников отклоня</w:t>
      </w:r>
      <w:r w:rsidR="00A64FCB">
        <w:rPr>
          <w:rFonts w:eastAsiaTheme="minorHAnsi"/>
          <w:sz w:val="28"/>
          <w:szCs w:val="28"/>
          <w:lang w:eastAsia="en-US"/>
        </w:rPr>
        <w:t>ю</w:t>
      </w:r>
      <w:r w:rsidR="00701AEF">
        <w:rPr>
          <w:rFonts w:eastAsiaTheme="minorHAnsi"/>
          <w:sz w:val="28"/>
          <w:szCs w:val="28"/>
          <w:lang w:eastAsia="en-US"/>
        </w:rPr>
        <w:t xml:space="preserve">тся и не рассматриваются решением конкурсной комиссии. </w:t>
      </w:r>
    </w:p>
    <w:p w:rsidR="00456CBE" w:rsidRDefault="00701AEF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Следует отметить, что указанные</w:t>
      </w:r>
      <w:r w:rsidRPr="00701AE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пунктом 2.8 Положения случаи идентичны случаям, предусмотренным пунктом 2.9 Порядка, при которых главный распорядитель отклоняет заявки </w:t>
      </w:r>
      <w:r w:rsidR="00631C82">
        <w:rPr>
          <w:rFonts w:eastAsiaTheme="minorHAnsi"/>
          <w:sz w:val="28"/>
          <w:szCs w:val="28"/>
          <w:lang w:eastAsia="en-US"/>
        </w:rPr>
        <w:t>СОНКО, следовательно, данные заявки не передаются на рассмотрение конкурсной комиссии. Таким образом</w:t>
      </w:r>
      <w:r w:rsidR="0042310B">
        <w:rPr>
          <w:rFonts w:eastAsiaTheme="minorHAnsi"/>
          <w:sz w:val="28"/>
          <w:szCs w:val="28"/>
          <w:lang w:eastAsia="en-US"/>
        </w:rPr>
        <w:t>,</w:t>
      </w:r>
      <w:r w:rsidR="00631C82">
        <w:rPr>
          <w:rFonts w:eastAsiaTheme="minorHAnsi"/>
          <w:sz w:val="28"/>
          <w:szCs w:val="28"/>
          <w:lang w:eastAsia="en-US"/>
        </w:rPr>
        <w:t xml:space="preserve"> пункт 2.8 Положения утрачивает свою актуальность, в связи с чем</w:t>
      </w:r>
      <w:r w:rsidR="0042310B">
        <w:rPr>
          <w:rFonts w:eastAsiaTheme="minorHAnsi"/>
          <w:sz w:val="28"/>
          <w:szCs w:val="28"/>
          <w:lang w:eastAsia="en-US"/>
        </w:rPr>
        <w:t>,</w:t>
      </w:r>
      <w:r w:rsidR="00631C82">
        <w:rPr>
          <w:rFonts w:eastAsiaTheme="minorHAnsi"/>
          <w:sz w:val="28"/>
          <w:szCs w:val="28"/>
          <w:lang w:eastAsia="en-US"/>
        </w:rPr>
        <w:t xml:space="preserve"> рекомендуем его исключить из Положения. </w:t>
      </w:r>
    </w:p>
    <w:p w:rsidR="00D17F50" w:rsidRDefault="00E25787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20</w:t>
      </w:r>
      <w:r w:rsidR="00456CBE">
        <w:rPr>
          <w:rFonts w:eastAsiaTheme="minorHAnsi"/>
          <w:sz w:val="28"/>
          <w:szCs w:val="28"/>
          <w:lang w:eastAsia="en-US"/>
        </w:rPr>
        <w:t xml:space="preserve">. </w:t>
      </w:r>
      <w:r w:rsidR="00D17F50">
        <w:rPr>
          <w:rFonts w:eastAsiaTheme="minorHAnsi"/>
          <w:sz w:val="28"/>
          <w:szCs w:val="28"/>
          <w:lang w:eastAsia="en-US"/>
        </w:rPr>
        <w:t xml:space="preserve">К проекту имеются </w:t>
      </w:r>
      <w:r w:rsidR="00D17F50" w:rsidRPr="00C036B2">
        <w:rPr>
          <w:rFonts w:eastAsiaTheme="minorHAnsi"/>
          <w:sz w:val="28"/>
          <w:szCs w:val="28"/>
          <w:lang w:eastAsia="en-US"/>
        </w:rPr>
        <w:t xml:space="preserve">замечания </w:t>
      </w:r>
      <w:r w:rsidR="005814B5">
        <w:rPr>
          <w:rFonts w:eastAsiaTheme="minorHAnsi"/>
          <w:sz w:val="28"/>
          <w:szCs w:val="28"/>
          <w:lang w:eastAsia="en-US"/>
        </w:rPr>
        <w:t>юридико-</w:t>
      </w:r>
      <w:r w:rsidR="00D17F50" w:rsidRPr="00C036B2">
        <w:rPr>
          <w:rFonts w:eastAsiaTheme="minorHAnsi"/>
          <w:sz w:val="28"/>
          <w:szCs w:val="28"/>
          <w:lang w:eastAsia="en-US"/>
        </w:rPr>
        <w:t>технического</w:t>
      </w:r>
      <w:r w:rsidR="00D17F50">
        <w:rPr>
          <w:rFonts w:eastAsiaTheme="minorHAnsi"/>
          <w:sz w:val="28"/>
          <w:szCs w:val="28"/>
          <w:lang w:eastAsia="en-US"/>
        </w:rPr>
        <w:t xml:space="preserve"> характера, а именно: </w:t>
      </w:r>
    </w:p>
    <w:p w:rsidR="00D17F50" w:rsidRDefault="00D17F50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 в преамбуле проекта постановления после слов «В соответствии» необходимо исключить предлог «с»;</w:t>
      </w:r>
    </w:p>
    <w:p w:rsidR="00701AEF" w:rsidRDefault="00D17F50" w:rsidP="000E4D0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в абзаце третьем пункта 2.4 Положения после слов «членов конкурсной» дополнить словом «комиссии».   </w:t>
      </w:r>
      <w:r w:rsidR="00631C82">
        <w:rPr>
          <w:rFonts w:eastAsiaTheme="minorHAnsi"/>
          <w:sz w:val="28"/>
          <w:szCs w:val="28"/>
          <w:lang w:eastAsia="en-US"/>
        </w:rPr>
        <w:t xml:space="preserve">  </w:t>
      </w:r>
      <w:r w:rsidR="00701AEF">
        <w:rPr>
          <w:rFonts w:eastAsiaTheme="minorHAnsi"/>
          <w:sz w:val="28"/>
          <w:szCs w:val="28"/>
          <w:lang w:eastAsia="en-US"/>
        </w:rPr>
        <w:t xml:space="preserve"> </w:t>
      </w:r>
    </w:p>
    <w:p w:rsidR="00C72DDD" w:rsidRDefault="00E77135" w:rsidP="000E4D02">
      <w:pPr>
        <w:tabs>
          <w:tab w:val="left" w:pos="567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Pr="00E77135">
        <w:rPr>
          <w:sz w:val="28"/>
          <w:szCs w:val="28"/>
        </w:rPr>
        <w:t xml:space="preserve"> </w:t>
      </w:r>
      <w:r w:rsidR="00566BEB">
        <w:rPr>
          <w:sz w:val="28"/>
          <w:szCs w:val="28"/>
        </w:rPr>
        <w:tab/>
      </w:r>
      <w:r w:rsidR="0094206F" w:rsidRPr="000B78AD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до </w:t>
      </w:r>
      <w:r w:rsidR="00A64FCB">
        <w:rPr>
          <w:rFonts w:eastAsiaTheme="minorHAnsi"/>
          <w:bCs/>
          <w:sz w:val="28"/>
          <w:szCs w:val="28"/>
          <w:lang w:eastAsia="en-US"/>
        </w:rPr>
        <w:t>утверждения</w:t>
      </w:r>
      <w:r w:rsidR="0094206F" w:rsidRPr="000B78A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B78AD">
        <w:rPr>
          <w:rFonts w:eastAsiaTheme="minorHAnsi"/>
          <w:bCs/>
          <w:sz w:val="28"/>
          <w:szCs w:val="28"/>
          <w:lang w:eastAsia="en-US"/>
        </w:rPr>
        <w:t xml:space="preserve">проекта </w:t>
      </w:r>
      <w:r w:rsidR="00D561FD">
        <w:rPr>
          <w:rFonts w:eastAsiaTheme="minorHAnsi"/>
          <w:bCs/>
          <w:sz w:val="28"/>
          <w:szCs w:val="28"/>
          <w:lang w:eastAsia="en-US"/>
        </w:rPr>
        <w:t>необходимо</w:t>
      </w:r>
      <w:r w:rsidR="0094206F" w:rsidRPr="000B78AD">
        <w:rPr>
          <w:rFonts w:eastAsiaTheme="minorHAnsi"/>
          <w:bCs/>
          <w:sz w:val="28"/>
          <w:szCs w:val="28"/>
          <w:lang w:eastAsia="en-US"/>
        </w:rPr>
        <w:t xml:space="preserve"> устранить замечания, отражённые в настоящем заключении.</w:t>
      </w:r>
      <w:r w:rsidR="0094206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4206F" w:rsidRDefault="0094206F" w:rsidP="000E4D0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6554DD">
        <w:rPr>
          <w:rFonts w:eastAsiaTheme="minorHAnsi"/>
          <w:bCs/>
          <w:sz w:val="28"/>
          <w:szCs w:val="28"/>
          <w:lang w:eastAsia="en-US"/>
        </w:rPr>
        <w:t>21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420714">
        <w:rPr>
          <w:rFonts w:eastAsiaTheme="minorHAnsi"/>
          <w:bCs/>
          <w:sz w:val="28"/>
          <w:szCs w:val="28"/>
          <w:lang w:eastAsia="en-US"/>
        </w:rPr>
        <w:t>10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AF40E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57C83" w:rsidRDefault="00857C83" w:rsidP="000E4D0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437BF" w:rsidRPr="001640E3" w:rsidRDefault="004437BF" w:rsidP="00D930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3978B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1640E3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12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18" w:rsidRDefault="00A06718" w:rsidP="00C456A5">
      <w:r>
        <w:separator/>
      </w:r>
    </w:p>
  </w:endnote>
  <w:endnote w:type="continuationSeparator" w:id="0">
    <w:p w:rsidR="00A06718" w:rsidRDefault="00A0671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18" w:rsidRDefault="00A06718" w:rsidP="00C456A5">
      <w:r>
        <w:separator/>
      </w:r>
    </w:p>
  </w:footnote>
  <w:footnote w:type="continuationSeparator" w:id="0">
    <w:p w:rsidR="00A06718" w:rsidRDefault="00A0671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0235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58E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4D02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06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155A0-7D38-4A4E-99BF-99BCD3AA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7096A8CF8965391DC6862287E2D18A8654314E15B6CD67DE8FE8DB8C623585D74BBBA871D4ED3009A4B0DD0E71BACE69692076BBn7V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7096A8CF8965391DC6862287E2D18A8654314E15B6CD67DE8FE8DB8C623585D74BBBAD74DCE56750EBB1814A21A9CF6C692376A773EFE7nBV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3DDB287BEC4F2D0D39002E02CE776791FE148021F0A1B090ACDD447368E9414C17DD4375D2B60F97ACDACE9C3CF7150860CABDB2F93A29HET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BE21-618D-4E28-8665-15C6BA89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7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57</cp:revision>
  <cp:lastPrinted>2022-10-05T10:27:00Z</cp:lastPrinted>
  <dcterms:created xsi:type="dcterms:W3CDTF">2020-04-28T07:43:00Z</dcterms:created>
  <dcterms:modified xsi:type="dcterms:W3CDTF">2022-11-09T13:49:00Z</dcterms:modified>
</cp:coreProperties>
</file>