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39" w:rsidRDefault="00843C39" w:rsidP="00E52D43">
      <w:pPr>
        <w:jc w:val="center"/>
        <w:rPr>
          <w:rFonts w:eastAsia="Times New Roman"/>
          <w:sz w:val="28"/>
          <w:szCs w:val="28"/>
        </w:rPr>
      </w:pPr>
    </w:p>
    <w:p w:rsidR="00C90CDB" w:rsidRPr="00641AF5" w:rsidRDefault="00C90CDB" w:rsidP="00E52D43">
      <w:pPr>
        <w:jc w:val="center"/>
        <w:rPr>
          <w:rFonts w:eastAsia="Times New Roman"/>
          <w:sz w:val="28"/>
          <w:szCs w:val="28"/>
        </w:rPr>
      </w:pPr>
      <w:r w:rsidRPr="00641AF5">
        <w:rPr>
          <w:rFonts w:eastAsia="Times New Roman"/>
          <w:sz w:val="28"/>
          <w:szCs w:val="28"/>
        </w:rPr>
        <w:t>СЧЁТНАЯ ПАЛАТА ГОРОДА НЕФТЕЮГАНСКА</w:t>
      </w:r>
    </w:p>
    <w:p w:rsidR="00C90CDB" w:rsidRPr="00D5185B" w:rsidRDefault="00C90CDB" w:rsidP="00C90CDB">
      <w:pPr>
        <w:ind w:firstLine="709"/>
        <w:jc w:val="center"/>
        <w:rPr>
          <w:rFonts w:eastAsia="Times New Roman"/>
          <w:sz w:val="32"/>
          <w:szCs w:val="32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641AF5" w:rsidRDefault="00C90CDB" w:rsidP="001210BA">
      <w:pPr>
        <w:jc w:val="center"/>
        <w:rPr>
          <w:rFonts w:eastAsia="Times New Roman"/>
          <w:sz w:val="36"/>
          <w:szCs w:val="36"/>
        </w:rPr>
      </w:pPr>
      <w:r w:rsidRPr="00641AF5">
        <w:rPr>
          <w:rFonts w:eastAsia="Times New Roman"/>
          <w:sz w:val="36"/>
          <w:szCs w:val="36"/>
        </w:rPr>
        <w:t xml:space="preserve">СТАНДАРТ ВНЕШНЕГО МУНИЦИПАЛЬНОГО ФИНАНСОВОГО КОНТРОЛЯ </w:t>
      </w:r>
    </w:p>
    <w:p w:rsidR="00C90CDB" w:rsidRPr="00641AF5" w:rsidRDefault="00C90CDB" w:rsidP="001210BA">
      <w:pPr>
        <w:jc w:val="center"/>
        <w:rPr>
          <w:rFonts w:eastAsia="Times New Roman"/>
          <w:sz w:val="36"/>
          <w:szCs w:val="36"/>
        </w:rPr>
      </w:pPr>
    </w:p>
    <w:p w:rsidR="00C90CDB" w:rsidRPr="00C90CDB" w:rsidRDefault="00C90CDB" w:rsidP="001210BA">
      <w:pPr>
        <w:jc w:val="center"/>
        <w:outlineLvl w:val="2"/>
        <w:rPr>
          <w:b/>
          <w:color w:val="000000"/>
          <w:sz w:val="36"/>
          <w:szCs w:val="36"/>
        </w:rPr>
      </w:pPr>
      <w:r w:rsidRPr="00C90CDB">
        <w:rPr>
          <w:b/>
          <w:color w:val="000000"/>
          <w:sz w:val="36"/>
          <w:szCs w:val="36"/>
        </w:rPr>
        <w:t>«</w:t>
      </w:r>
      <w:r w:rsidRPr="00C90CDB">
        <w:rPr>
          <w:rFonts w:eastAsia="Times New Roman"/>
          <w:b/>
          <w:color w:val="000000"/>
          <w:sz w:val="36"/>
          <w:szCs w:val="36"/>
        </w:rPr>
        <w:t xml:space="preserve">Проведение </w:t>
      </w:r>
      <w:r w:rsidR="009B154B">
        <w:rPr>
          <w:rFonts w:eastAsia="Times New Roman"/>
          <w:b/>
          <w:color w:val="000000"/>
          <w:sz w:val="36"/>
          <w:szCs w:val="36"/>
        </w:rPr>
        <w:t xml:space="preserve">оперативного анализа исполнения и </w:t>
      </w:r>
      <w:r w:rsidRPr="00C90CDB">
        <w:rPr>
          <w:rFonts w:eastAsia="Times New Roman"/>
          <w:b/>
          <w:color w:val="000000"/>
          <w:sz w:val="36"/>
          <w:szCs w:val="36"/>
        </w:rPr>
        <w:t xml:space="preserve">контроля </w:t>
      </w:r>
      <w:r w:rsidRPr="00C90CDB">
        <w:rPr>
          <w:rFonts w:eastAsia="Times New Roman"/>
          <w:b/>
          <w:color w:val="000000"/>
          <w:spacing w:val="3"/>
          <w:sz w:val="36"/>
          <w:szCs w:val="36"/>
        </w:rPr>
        <w:t xml:space="preserve">за </w:t>
      </w:r>
      <w:r w:rsidR="009B154B">
        <w:rPr>
          <w:rFonts w:eastAsia="Times New Roman"/>
          <w:b/>
          <w:color w:val="000000"/>
          <w:spacing w:val="3"/>
          <w:sz w:val="36"/>
          <w:szCs w:val="36"/>
        </w:rPr>
        <w:t xml:space="preserve">организацией </w:t>
      </w:r>
      <w:r w:rsidRPr="00C90CDB">
        <w:rPr>
          <w:rFonts w:eastAsia="Times New Roman"/>
          <w:b/>
          <w:color w:val="000000"/>
          <w:spacing w:val="3"/>
          <w:sz w:val="36"/>
          <w:szCs w:val="36"/>
        </w:rPr>
        <w:t>исполнения бюджета города в текущем финансовом году</w:t>
      </w:r>
      <w:r w:rsidRPr="00C90CDB">
        <w:rPr>
          <w:b/>
          <w:color w:val="000000"/>
          <w:sz w:val="36"/>
          <w:szCs w:val="36"/>
        </w:rPr>
        <w:t>»</w:t>
      </w:r>
    </w:p>
    <w:p w:rsidR="002A0768" w:rsidRDefault="002A0768" w:rsidP="002A0768">
      <w:pPr>
        <w:jc w:val="center"/>
        <w:rPr>
          <w:rFonts w:eastAsia="Times New Roman"/>
        </w:rPr>
      </w:pPr>
      <w:r w:rsidRPr="00E52D43">
        <w:rPr>
          <w:rFonts w:eastAsia="Times New Roman"/>
        </w:rPr>
        <w:t>(Утверждён приказом Счётной палаты города Нефтеюганска</w:t>
      </w:r>
      <w:r>
        <w:rPr>
          <w:rFonts w:eastAsia="Times New Roman"/>
        </w:rPr>
        <w:t xml:space="preserve"> </w:t>
      </w:r>
      <w:r w:rsidRPr="00E52D43">
        <w:rPr>
          <w:rFonts w:eastAsia="Times New Roman"/>
        </w:rPr>
        <w:t xml:space="preserve">от </w:t>
      </w:r>
      <w:r>
        <w:rPr>
          <w:rFonts w:eastAsia="Times New Roman"/>
        </w:rPr>
        <w:t>07</w:t>
      </w:r>
      <w:r w:rsidRPr="00E52D43">
        <w:rPr>
          <w:rFonts w:eastAsia="Times New Roman"/>
        </w:rPr>
        <w:t>.0</w:t>
      </w:r>
      <w:r>
        <w:rPr>
          <w:rFonts w:eastAsia="Times New Roman"/>
        </w:rPr>
        <w:t>2</w:t>
      </w:r>
      <w:r w:rsidRPr="00E52D43">
        <w:rPr>
          <w:rFonts w:eastAsia="Times New Roman"/>
        </w:rPr>
        <w:t>.20</w:t>
      </w:r>
      <w:r>
        <w:rPr>
          <w:rFonts w:eastAsia="Times New Roman"/>
        </w:rPr>
        <w:t>22</w:t>
      </w:r>
      <w:r w:rsidRPr="00E52D43">
        <w:rPr>
          <w:rFonts w:eastAsia="Times New Roman"/>
        </w:rPr>
        <w:t xml:space="preserve"> № </w:t>
      </w:r>
      <w:r>
        <w:rPr>
          <w:rFonts w:eastAsia="Times New Roman"/>
        </w:rPr>
        <w:t xml:space="preserve">17-п, </w:t>
      </w:r>
    </w:p>
    <w:p w:rsidR="002A0768" w:rsidRPr="00E52D43" w:rsidRDefault="002A0768" w:rsidP="002A0768">
      <w:pPr>
        <w:jc w:val="center"/>
        <w:rPr>
          <w:rFonts w:eastAsia="Times New Roman"/>
        </w:rPr>
      </w:pPr>
      <w:r>
        <w:rPr>
          <w:rFonts w:eastAsia="Times New Roman"/>
        </w:rPr>
        <w:t>в редакции приказа от 19.09.2022 № 5</w:t>
      </w:r>
      <w:r w:rsidR="00964D3B">
        <w:rPr>
          <w:rFonts w:eastAsia="Times New Roman"/>
        </w:rPr>
        <w:t>7</w:t>
      </w:r>
      <w:r>
        <w:rPr>
          <w:rFonts w:eastAsia="Times New Roman"/>
        </w:rPr>
        <w:t>-п</w:t>
      </w:r>
      <w:r w:rsidRPr="00E52D43">
        <w:rPr>
          <w:rFonts w:eastAsia="Times New Roman"/>
        </w:rPr>
        <w:t>)</w:t>
      </w:r>
    </w:p>
    <w:p w:rsidR="002A0768" w:rsidRPr="003B7D8C" w:rsidRDefault="002A0768" w:rsidP="002A0768">
      <w:pPr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right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843C39" w:rsidRDefault="00843C39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Pr="00822552" w:rsidRDefault="00C90CDB" w:rsidP="00C90CDB">
      <w:pPr>
        <w:ind w:firstLine="709"/>
        <w:jc w:val="center"/>
        <w:rPr>
          <w:rFonts w:eastAsia="Times New Roman"/>
          <w:sz w:val="28"/>
          <w:szCs w:val="28"/>
        </w:rPr>
      </w:pPr>
    </w:p>
    <w:p w:rsidR="00C90CDB" w:rsidRDefault="00843C39" w:rsidP="00C90CD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C90CDB" w:rsidRPr="00D5185B">
        <w:rPr>
          <w:rFonts w:eastAsia="Times New Roman"/>
          <w:sz w:val="28"/>
          <w:szCs w:val="28"/>
        </w:rPr>
        <w:t>ород</w:t>
      </w:r>
      <w:r>
        <w:rPr>
          <w:rFonts w:eastAsia="Times New Roman"/>
          <w:sz w:val="28"/>
          <w:szCs w:val="28"/>
        </w:rPr>
        <w:t>.</w:t>
      </w:r>
      <w:r w:rsidR="00C90CDB" w:rsidRPr="00D5185B">
        <w:rPr>
          <w:rFonts w:eastAsia="Times New Roman"/>
          <w:sz w:val="28"/>
          <w:szCs w:val="28"/>
        </w:rPr>
        <w:t xml:space="preserve"> Нефтеюганск</w:t>
      </w:r>
    </w:p>
    <w:p w:rsidR="00C90CDB" w:rsidRDefault="00C90CDB" w:rsidP="00C90CDB">
      <w:pPr>
        <w:jc w:val="center"/>
        <w:rPr>
          <w:rFonts w:eastAsia="Times New Roman"/>
          <w:sz w:val="28"/>
          <w:szCs w:val="28"/>
        </w:rPr>
      </w:pPr>
      <w:r w:rsidRPr="00D5185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</w:t>
      </w:r>
      <w:r w:rsidR="009B154B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</w:t>
      </w:r>
      <w:r w:rsidRPr="00D5185B">
        <w:rPr>
          <w:rFonts w:eastAsia="Times New Roman"/>
          <w:sz w:val="28"/>
          <w:szCs w:val="28"/>
        </w:rPr>
        <w:t>год</w:t>
      </w:r>
    </w:p>
    <w:p w:rsidR="002A0768" w:rsidRDefault="002A0768" w:rsidP="00E52D43">
      <w:pPr>
        <w:spacing w:line="276" w:lineRule="auto"/>
        <w:jc w:val="center"/>
        <w:rPr>
          <w:b/>
          <w:bCs/>
          <w:sz w:val="28"/>
          <w:szCs w:val="28"/>
        </w:rPr>
      </w:pPr>
    </w:p>
    <w:p w:rsidR="002A0768" w:rsidRDefault="002A0768" w:rsidP="00E52D43">
      <w:pPr>
        <w:spacing w:line="276" w:lineRule="auto"/>
        <w:jc w:val="center"/>
        <w:rPr>
          <w:b/>
          <w:bCs/>
          <w:sz w:val="28"/>
          <w:szCs w:val="28"/>
        </w:rPr>
      </w:pPr>
    </w:p>
    <w:p w:rsidR="00174207" w:rsidRDefault="0063017B" w:rsidP="00E52D43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174207">
        <w:rPr>
          <w:b/>
          <w:bCs/>
          <w:sz w:val="28"/>
          <w:szCs w:val="28"/>
        </w:rPr>
        <w:t>одержание</w:t>
      </w:r>
    </w:p>
    <w:p w:rsidR="00174207" w:rsidRDefault="00174207" w:rsidP="00174207">
      <w:pPr>
        <w:widowControl w:val="0"/>
        <w:spacing w:line="276" w:lineRule="auto"/>
        <w:rPr>
          <w:bCs/>
          <w:snapToGrid w:val="0"/>
          <w:sz w:val="28"/>
          <w:szCs w:val="28"/>
        </w:rPr>
      </w:pPr>
    </w:p>
    <w:p w:rsidR="00174207" w:rsidRDefault="00174207" w:rsidP="00E277CD">
      <w:pPr>
        <w:widowControl w:val="0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 Общие положения</w:t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3A541F">
        <w:rPr>
          <w:bCs/>
          <w:snapToGrid w:val="0"/>
          <w:sz w:val="28"/>
          <w:szCs w:val="28"/>
        </w:rPr>
        <w:t xml:space="preserve">  </w:t>
      </w:r>
      <w:r>
        <w:rPr>
          <w:bCs/>
          <w:snapToGrid w:val="0"/>
          <w:sz w:val="28"/>
          <w:szCs w:val="28"/>
        </w:rPr>
        <w:t>3</w:t>
      </w:r>
    </w:p>
    <w:p w:rsidR="00E277CD" w:rsidRDefault="00E277CD" w:rsidP="00E277CD">
      <w:pPr>
        <w:widowControl w:val="0"/>
        <w:rPr>
          <w:bCs/>
          <w:snapToGrid w:val="0"/>
          <w:sz w:val="28"/>
          <w:szCs w:val="28"/>
        </w:rPr>
      </w:pPr>
    </w:p>
    <w:p w:rsidR="003A541F" w:rsidRDefault="00174207" w:rsidP="00E277CD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2. Цели, задачи, предмет и объекты </w:t>
      </w:r>
      <w:r w:rsidR="0063017B" w:rsidRPr="0063017B">
        <w:rPr>
          <w:bCs/>
          <w:snapToGrid w:val="0"/>
          <w:sz w:val="28"/>
          <w:szCs w:val="28"/>
        </w:rPr>
        <w:t xml:space="preserve">оперативного анализа исполнения </w:t>
      </w:r>
    </w:p>
    <w:p w:rsidR="00174207" w:rsidRDefault="0063017B" w:rsidP="00E277CD">
      <w:pPr>
        <w:widowControl w:val="0"/>
        <w:rPr>
          <w:sz w:val="28"/>
          <w:szCs w:val="28"/>
        </w:rPr>
      </w:pPr>
      <w:r w:rsidRPr="0063017B">
        <w:rPr>
          <w:bCs/>
          <w:snapToGrid w:val="0"/>
          <w:sz w:val="28"/>
          <w:szCs w:val="28"/>
        </w:rPr>
        <w:t>и контроля за</w:t>
      </w:r>
      <w:r>
        <w:rPr>
          <w:bCs/>
          <w:snapToGrid w:val="0"/>
          <w:sz w:val="28"/>
          <w:szCs w:val="28"/>
        </w:rPr>
        <w:t xml:space="preserve"> </w:t>
      </w:r>
      <w:r w:rsidRPr="0063017B">
        <w:rPr>
          <w:bCs/>
          <w:snapToGrid w:val="0"/>
          <w:sz w:val="28"/>
          <w:szCs w:val="28"/>
        </w:rPr>
        <w:t xml:space="preserve">организацией исполнения </w:t>
      </w:r>
      <w:r>
        <w:rPr>
          <w:bCs/>
          <w:snapToGrid w:val="0"/>
          <w:sz w:val="28"/>
          <w:szCs w:val="28"/>
        </w:rPr>
        <w:t>местного</w:t>
      </w:r>
      <w:r w:rsidRPr="0063017B">
        <w:rPr>
          <w:bCs/>
          <w:snapToGrid w:val="0"/>
          <w:sz w:val="28"/>
          <w:szCs w:val="28"/>
        </w:rPr>
        <w:t xml:space="preserve"> бюджета</w:t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175011">
        <w:rPr>
          <w:bCs/>
          <w:snapToGrid w:val="0"/>
          <w:sz w:val="28"/>
          <w:szCs w:val="28"/>
        </w:rPr>
        <w:tab/>
      </w:r>
      <w:r w:rsidR="003A541F">
        <w:rPr>
          <w:bCs/>
          <w:snapToGrid w:val="0"/>
          <w:sz w:val="28"/>
          <w:szCs w:val="28"/>
        </w:rPr>
        <w:t xml:space="preserve">   </w:t>
      </w:r>
      <w:r w:rsidR="00174207">
        <w:rPr>
          <w:bCs/>
          <w:snapToGrid w:val="0"/>
          <w:sz w:val="28"/>
          <w:szCs w:val="28"/>
        </w:rPr>
        <w:t>4</w:t>
      </w:r>
    </w:p>
    <w:p w:rsidR="00E277CD" w:rsidRDefault="00E277CD" w:rsidP="00E277CD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3A541F" w:rsidRDefault="00174207" w:rsidP="00E277CD">
      <w:pPr>
        <w:widowControl w:val="0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Характеристики, правила и процедуры осуществления </w:t>
      </w:r>
      <w:r w:rsidR="003A541F" w:rsidRPr="003A541F">
        <w:rPr>
          <w:sz w:val="28"/>
          <w:szCs w:val="28"/>
        </w:rPr>
        <w:t xml:space="preserve">оперативного </w:t>
      </w:r>
    </w:p>
    <w:p w:rsidR="003A541F" w:rsidRDefault="003A541F" w:rsidP="00E277CD">
      <w:pPr>
        <w:widowControl w:val="0"/>
        <w:jc w:val="both"/>
        <w:rPr>
          <w:sz w:val="28"/>
          <w:szCs w:val="28"/>
        </w:rPr>
      </w:pPr>
      <w:r w:rsidRPr="003A541F">
        <w:rPr>
          <w:sz w:val="28"/>
          <w:szCs w:val="28"/>
        </w:rPr>
        <w:t xml:space="preserve">анализа исполнения и контроля за организацией исполнения местного </w:t>
      </w:r>
    </w:p>
    <w:p w:rsidR="00174207" w:rsidRDefault="003A541F" w:rsidP="00E277CD">
      <w:pPr>
        <w:widowControl w:val="0"/>
        <w:jc w:val="both"/>
        <w:rPr>
          <w:sz w:val="28"/>
          <w:szCs w:val="28"/>
        </w:rPr>
      </w:pPr>
      <w:r w:rsidRPr="003A541F">
        <w:rPr>
          <w:sz w:val="28"/>
          <w:szCs w:val="28"/>
        </w:rPr>
        <w:t>бюджета</w:t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 w:rsidR="0017501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74207">
        <w:rPr>
          <w:bCs/>
          <w:snapToGrid w:val="0"/>
          <w:color w:val="000000"/>
          <w:sz w:val="28"/>
          <w:szCs w:val="28"/>
        </w:rPr>
        <w:t>5</w:t>
      </w:r>
    </w:p>
    <w:p w:rsidR="00E277CD" w:rsidRDefault="00E277CD" w:rsidP="00E277CD">
      <w:pPr>
        <w:widowControl w:val="0"/>
        <w:rPr>
          <w:bCs/>
          <w:snapToGrid w:val="0"/>
          <w:sz w:val="28"/>
          <w:szCs w:val="28"/>
        </w:rPr>
      </w:pPr>
    </w:p>
    <w:p w:rsidR="00174207" w:rsidRDefault="00174207" w:rsidP="00E277CD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4. Основные этапы </w:t>
      </w:r>
      <w:r w:rsidR="003A541F">
        <w:rPr>
          <w:bCs/>
          <w:snapToGrid w:val="0"/>
          <w:sz w:val="28"/>
          <w:szCs w:val="28"/>
        </w:rPr>
        <w:t xml:space="preserve">осуществления </w:t>
      </w:r>
      <w:r w:rsidR="003A541F" w:rsidRPr="003A541F">
        <w:rPr>
          <w:bCs/>
          <w:snapToGrid w:val="0"/>
          <w:sz w:val="28"/>
          <w:szCs w:val="28"/>
        </w:rPr>
        <w:t>оперативного анализа исполнения и контроля за организацией исполнения местного бюджета</w:t>
      </w:r>
      <w:r>
        <w:rPr>
          <w:bCs/>
          <w:snapToGrid w:val="0"/>
          <w:sz w:val="28"/>
          <w:szCs w:val="28"/>
        </w:rPr>
        <w:t xml:space="preserve">                                    </w:t>
      </w:r>
      <w:r w:rsidR="00F11076">
        <w:rPr>
          <w:bCs/>
          <w:snapToGrid w:val="0"/>
          <w:sz w:val="28"/>
          <w:szCs w:val="28"/>
        </w:rPr>
        <w:t>6</w:t>
      </w:r>
      <w:r>
        <w:rPr>
          <w:bCs/>
          <w:snapToGrid w:val="0"/>
          <w:sz w:val="28"/>
          <w:szCs w:val="28"/>
        </w:rPr>
        <w:t xml:space="preserve">                      </w:t>
      </w:r>
    </w:p>
    <w:p w:rsidR="00E277CD" w:rsidRDefault="00E277CD" w:rsidP="00E277CD">
      <w:pPr>
        <w:widowControl w:val="0"/>
        <w:rPr>
          <w:bCs/>
          <w:snapToGrid w:val="0"/>
          <w:sz w:val="28"/>
          <w:szCs w:val="28"/>
        </w:rPr>
      </w:pPr>
    </w:p>
    <w:p w:rsidR="00174207" w:rsidRDefault="00174207" w:rsidP="00E277CD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4.1. Подготовка документов, необходимых для осуществления</w:t>
      </w:r>
    </w:p>
    <w:p w:rsidR="003A541F" w:rsidRDefault="00174207" w:rsidP="00E277CD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3A541F" w:rsidRPr="003A541F">
        <w:rPr>
          <w:bCs/>
          <w:snapToGrid w:val="0"/>
          <w:sz w:val="28"/>
          <w:szCs w:val="28"/>
        </w:rPr>
        <w:t xml:space="preserve">оперативного анализа исполнения и контроля за организацией </w:t>
      </w:r>
    </w:p>
    <w:p w:rsidR="00174207" w:rsidRDefault="003A541F" w:rsidP="00E277CD">
      <w:pPr>
        <w:widowControl w:val="0"/>
        <w:rPr>
          <w:bCs/>
          <w:snapToGrid w:val="0"/>
          <w:sz w:val="28"/>
          <w:szCs w:val="28"/>
        </w:rPr>
      </w:pPr>
      <w:r w:rsidRPr="003A541F">
        <w:rPr>
          <w:bCs/>
          <w:snapToGrid w:val="0"/>
          <w:sz w:val="28"/>
          <w:szCs w:val="28"/>
        </w:rPr>
        <w:t>исполнения местного бюджета</w:t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</w:r>
      <w:r>
        <w:rPr>
          <w:bCs/>
          <w:snapToGrid w:val="0"/>
          <w:sz w:val="28"/>
          <w:szCs w:val="28"/>
        </w:rPr>
        <w:tab/>
        <w:t xml:space="preserve"> </w:t>
      </w:r>
      <w:r w:rsidR="00174207">
        <w:rPr>
          <w:bCs/>
          <w:snapToGrid w:val="0"/>
          <w:sz w:val="28"/>
          <w:szCs w:val="28"/>
        </w:rPr>
        <w:t>6</w:t>
      </w:r>
    </w:p>
    <w:p w:rsidR="00E277CD" w:rsidRDefault="00E277CD" w:rsidP="00E277CD">
      <w:pPr>
        <w:widowControl w:val="0"/>
        <w:rPr>
          <w:bCs/>
          <w:snapToGrid w:val="0"/>
          <w:sz w:val="28"/>
          <w:szCs w:val="28"/>
        </w:rPr>
      </w:pPr>
    </w:p>
    <w:p w:rsidR="00174207" w:rsidRDefault="00174207" w:rsidP="00E277CD">
      <w:pPr>
        <w:widowControl w:val="0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4.2. </w:t>
      </w:r>
      <w:r w:rsidR="003A541F">
        <w:rPr>
          <w:sz w:val="28"/>
          <w:szCs w:val="28"/>
        </w:rPr>
        <w:t>О</w:t>
      </w:r>
      <w:r w:rsidR="003A541F" w:rsidRPr="003A541F">
        <w:rPr>
          <w:sz w:val="28"/>
          <w:szCs w:val="28"/>
        </w:rPr>
        <w:t>существление оперативного анализа</w:t>
      </w:r>
      <w:r w:rsidR="003A541F">
        <w:rPr>
          <w:sz w:val="28"/>
          <w:szCs w:val="28"/>
        </w:rPr>
        <w:t xml:space="preserve"> </w:t>
      </w:r>
      <w:r w:rsidR="003A541F" w:rsidRPr="003A541F">
        <w:rPr>
          <w:sz w:val="28"/>
          <w:szCs w:val="28"/>
        </w:rPr>
        <w:t>исполнения и контроля за организацией исполнения</w:t>
      </w:r>
      <w:r w:rsidR="003A541F">
        <w:rPr>
          <w:sz w:val="28"/>
          <w:szCs w:val="28"/>
        </w:rPr>
        <w:t xml:space="preserve"> местного </w:t>
      </w:r>
      <w:r w:rsidR="003A541F" w:rsidRPr="003A541F">
        <w:rPr>
          <w:sz w:val="28"/>
          <w:szCs w:val="28"/>
        </w:rPr>
        <w:t>бюджета, под</w:t>
      </w:r>
      <w:r w:rsidR="003A541F">
        <w:rPr>
          <w:sz w:val="28"/>
          <w:szCs w:val="28"/>
        </w:rPr>
        <w:t xml:space="preserve">готовка, оформление результатов </w:t>
      </w:r>
      <w:r w:rsidR="003A541F" w:rsidRPr="003A541F">
        <w:rPr>
          <w:sz w:val="28"/>
          <w:szCs w:val="28"/>
        </w:rPr>
        <w:t>оперативного анализа и контроля</w:t>
      </w:r>
      <w:r w:rsidR="003A541F">
        <w:rPr>
          <w:sz w:val="28"/>
          <w:szCs w:val="28"/>
        </w:rPr>
        <w:tab/>
      </w:r>
      <w:r w:rsidR="003A541F">
        <w:rPr>
          <w:sz w:val="28"/>
          <w:szCs w:val="28"/>
        </w:rPr>
        <w:tab/>
      </w:r>
      <w:r w:rsidR="003A541F">
        <w:rPr>
          <w:sz w:val="28"/>
          <w:szCs w:val="28"/>
        </w:rPr>
        <w:tab/>
      </w:r>
      <w:r w:rsidR="003A541F">
        <w:rPr>
          <w:sz w:val="28"/>
          <w:szCs w:val="28"/>
        </w:rPr>
        <w:tab/>
      </w:r>
      <w:r w:rsidR="003A541F">
        <w:rPr>
          <w:sz w:val="28"/>
          <w:szCs w:val="28"/>
        </w:rPr>
        <w:tab/>
      </w:r>
      <w:r w:rsidR="003A541F">
        <w:rPr>
          <w:sz w:val="28"/>
          <w:szCs w:val="28"/>
        </w:rPr>
        <w:tab/>
        <w:t xml:space="preserve"> </w:t>
      </w:r>
      <w:r>
        <w:rPr>
          <w:bCs/>
          <w:snapToGrid w:val="0"/>
          <w:sz w:val="28"/>
          <w:szCs w:val="28"/>
        </w:rPr>
        <w:t>7</w:t>
      </w:r>
    </w:p>
    <w:p w:rsidR="00174207" w:rsidRDefault="00174207" w:rsidP="00E277CD">
      <w:pPr>
        <w:widowControl w:val="0"/>
        <w:jc w:val="center"/>
        <w:outlineLvl w:val="1"/>
        <w:rPr>
          <w:sz w:val="28"/>
          <w:szCs w:val="28"/>
        </w:rPr>
      </w:pPr>
    </w:p>
    <w:tbl>
      <w:tblPr>
        <w:tblW w:w="9816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8"/>
        <w:gridCol w:w="7088"/>
      </w:tblGrid>
      <w:tr w:rsidR="00174207" w:rsidTr="00C90CDB">
        <w:tc>
          <w:tcPr>
            <w:tcW w:w="2728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174207" w:rsidRDefault="00174207" w:rsidP="00E277CD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</w:t>
            </w:r>
            <w:r w:rsidR="00C90CDB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1</w:t>
            </w:r>
          </w:p>
          <w:p w:rsidR="00174207" w:rsidRDefault="00174207" w:rsidP="00E277CD">
            <w:pPr>
              <w:ind w:firstLine="318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174207" w:rsidRDefault="00174207" w:rsidP="00E277C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</w:t>
            </w:r>
            <w:r w:rsidR="003A541F">
              <w:rPr>
                <w:sz w:val="28"/>
                <w:szCs w:val="28"/>
              </w:rPr>
              <w:t xml:space="preserve">распоряжения </w:t>
            </w:r>
            <w:r w:rsidR="0030731E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>Счётной палаты города Нефтеюганска</w:t>
            </w:r>
            <w:r w:rsidR="00175011">
              <w:rPr>
                <w:sz w:val="28"/>
                <w:szCs w:val="28"/>
              </w:rPr>
              <w:t xml:space="preserve"> </w:t>
            </w:r>
            <w:r w:rsidR="003A541F">
              <w:rPr>
                <w:sz w:val="28"/>
                <w:szCs w:val="28"/>
              </w:rPr>
              <w:t xml:space="preserve"> </w:t>
            </w:r>
            <w:r w:rsidR="0030731E">
              <w:rPr>
                <w:sz w:val="28"/>
                <w:szCs w:val="28"/>
              </w:rPr>
              <w:t xml:space="preserve">                                                           </w:t>
            </w:r>
            <w:r w:rsidR="0017501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74207" w:rsidTr="00C90CDB">
        <w:tc>
          <w:tcPr>
            <w:tcW w:w="2728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E277CD" w:rsidRDefault="00E277CD" w:rsidP="00E277CD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</w:p>
          <w:p w:rsidR="00174207" w:rsidRDefault="00174207" w:rsidP="00E277CD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</w:t>
            </w:r>
            <w:r w:rsidR="00C90CDB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2</w:t>
            </w:r>
          </w:p>
          <w:p w:rsidR="00174207" w:rsidRDefault="00174207" w:rsidP="00E277CD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</w:p>
          <w:p w:rsidR="00174207" w:rsidRDefault="00174207" w:rsidP="00E277CD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E277CD" w:rsidRDefault="00E277CD" w:rsidP="00E277CD">
            <w:pPr>
              <w:widowControl w:val="0"/>
              <w:rPr>
                <w:sz w:val="28"/>
                <w:szCs w:val="28"/>
              </w:rPr>
            </w:pPr>
          </w:p>
          <w:p w:rsidR="00174207" w:rsidRDefault="00174207" w:rsidP="00E277C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программы проведения                   экспертно-аналитического мероприятия</w:t>
            </w:r>
            <w:r w:rsidR="00175011">
              <w:rPr>
                <w:sz w:val="28"/>
                <w:szCs w:val="28"/>
              </w:rPr>
              <w:t xml:space="preserve">                          </w:t>
            </w:r>
            <w:r w:rsidR="003A54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174207" w:rsidTr="00C90CDB">
        <w:tc>
          <w:tcPr>
            <w:tcW w:w="2728" w:type="dxa"/>
            <w:tcMar>
              <w:top w:w="0" w:type="dxa"/>
              <w:left w:w="0" w:type="dxa"/>
              <w:bottom w:w="0" w:type="dxa"/>
              <w:right w:w="57" w:type="dxa"/>
            </w:tcMar>
          </w:tcPr>
          <w:p w:rsidR="00174207" w:rsidRDefault="00174207" w:rsidP="00E277CD">
            <w:pPr>
              <w:widowControl w:val="0"/>
              <w:ind w:firstLine="318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Приложение №</w:t>
            </w:r>
            <w:r w:rsidR="00C90CDB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3</w:t>
            </w:r>
          </w:p>
          <w:p w:rsidR="00174207" w:rsidRDefault="00174207" w:rsidP="00E277CD">
            <w:pPr>
              <w:widowControl w:val="0"/>
              <w:ind w:firstLine="318"/>
              <w:rPr>
                <w:snapToGrid w:val="0"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174207" w:rsidRDefault="00174207" w:rsidP="00E277CD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Образец оформления </w:t>
            </w:r>
            <w:r>
              <w:rPr>
                <w:snapToGrid w:val="0"/>
                <w:sz w:val="28"/>
                <w:szCs w:val="28"/>
              </w:rPr>
              <w:t xml:space="preserve">уведомления о проведении </w:t>
            </w:r>
          </w:p>
          <w:p w:rsidR="00174207" w:rsidRDefault="00174207" w:rsidP="00E277CD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экспертно-аналитического мероприятия</w:t>
            </w:r>
            <w:r w:rsidR="00175011">
              <w:rPr>
                <w:snapToGrid w:val="0"/>
                <w:sz w:val="28"/>
                <w:szCs w:val="28"/>
              </w:rPr>
              <w:t xml:space="preserve">                           </w:t>
            </w:r>
            <w:r>
              <w:rPr>
                <w:snapToGrid w:val="0"/>
                <w:sz w:val="28"/>
                <w:szCs w:val="28"/>
              </w:rPr>
              <w:t>11</w:t>
            </w:r>
          </w:p>
        </w:tc>
      </w:tr>
    </w:tbl>
    <w:p w:rsidR="00174207" w:rsidRDefault="00174207" w:rsidP="00E277CD">
      <w:pPr>
        <w:widowControl w:val="0"/>
        <w:jc w:val="center"/>
        <w:outlineLvl w:val="1"/>
        <w:rPr>
          <w:sz w:val="28"/>
          <w:szCs w:val="28"/>
        </w:rPr>
      </w:pPr>
    </w:p>
    <w:p w:rsidR="00174207" w:rsidRDefault="00174207" w:rsidP="00E277CD">
      <w:pPr>
        <w:widowControl w:val="0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widowControl w:val="0"/>
        <w:spacing w:line="276" w:lineRule="auto"/>
        <w:jc w:val="center"/>
        <w:outlineLvl w:val="1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Default="00174207" w:rsidP="00174207">
      <w:pPr>
        <w:spacing w:line="276" w:lineRule="auto"/>
        <w:jc w:val="center"/>
        <w:rPr>
          <w:sz w:val="28"/>
          <w:szCs w:val="28"/>
        </w:rPr>
      </w:pPr>
    </w:p>
    <w:p w:rsidR="00174207" w:rsidRPr="005D00B3" w:rsidRDefault="00174207" w:rsidP="00E52D43">
      <w:pPr>
        <w:pStyle w:val="afa"/>
        <w:widowControl w:val="0"/>
        <w:numPr>
          <w:ilvl w:val="0"/>
          <w:numId w:val="16"/>
        </w:numPr>
        <w:spacing w:line="276" w:lineRule="auto"/>
        <w:ind w:left="0" w:firstLine="0"/>
        <w:jc w:val="center"/>
        <w:outlineLvl w:val="1"/>
        <w:rPr>
          <w:b/>
          <w:sz w:val="28"/>
          <w:szCs w:val="28"/>
        </w:rPr>
      </w:pPr>
      <w:r w:rsidRPr="005D00B3">
        <w:rPr>
          <w:b/>
          <w:sz w:val="28"/>
          <w:szCs w:val="28"/>
        </w:rPr>
        <w:lastRenderedPageBreak/>
        <w:t>Общие положения</w:t>
      </w:r>
    </w:p>
    <w:p w:rsidR="005D00B3" w:rsidRPr="005D00B3" w:rsidRDefault="005D00B3" w:rsidP="005D00B3">
      <w:pPr>
        <w:pStyle w:val="afa"/>
        <w:widowControl w:val="0"/>
        <w:spacing w:line="276" w:lineRule="auto"/>
        <w:outlineLvl w:val="1"/>
        <w:rPr>
          <w:b/>
          <w:sz w:val="28"/>
          <w:szCs w:val="28"/>
        </w:rPr>
      </w:pPr>
    </w:p>
    <w:p w:rsidR="00174207" w:rsidRDefault="00174207" w:rsidP="001210BA">
      <w:pPr>
        <w:keepNext/>
        <w:ind w:firstLine="72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Стандарт внешнего финансового контроля «</w:t>
      </w:r>
      <w:r w:rsidR="0030731E" w:rsidRPr="0030731E">
        <w:rPr>
          <w:color w:val="000000"/>
          <w:sz w:val="28"/>
          <w:szCs w:val="28"/>
        </w:rPr>
        <w:t>Проведение оперативного анализа исполнения и контроля за организацией исполнения бюджета города в текущем финансовом году</w:t>
      </w:r>
      <w:r>
        <w:rPr>
          <w:color w:val="000000"/>
          <w:sz w:val="28"/>
          <w:szCs w:val="28"/>
        </w:rPr>
        <w:t xml:space="preserve">» (далее – Стандарт) предназначен для регламентации деятельности Счётной палаты города Нефтеюганска по осуществлению </w:t>
      </w:r>
      <w:r w:rsidR="0030731E" w:rsidRPr="0030731E">
        <w:rPr>
          <w:snapToGrid w:val="0"/>
          <w:color w:val="000000"/>
          <w:sz w:val="28"/>
          <w:szCs w:val="28"/>
        </w:rPr>
        <w:t xml:space="preserve">оперативного анализа исполнения и контроля за организацией исполнения </w:t>
      </w:r>
      <w:r>
        <w:rPr>
          <w:snapToGrid w:val="0"/>
          <w:color w:val="000000"/>
          <w:sz w:val="28"/>
          <w:szCs w:val="28"/>
        </w:rPr>
        <w:t xml:space="preserve">решения Думы города о </w:t>
      </w:r>
      <w:r>
        <w:rPr>
          <w:color w:val="000000"/>
          <w:sz w:val="28"/>
          <w:szCs w:val="28"/>
        </w:rPr>
        <w:t xml:space="preserve">бюджете </w:t>
      </w:r>
      <w:r>
        <w:rPr>
          <w:snapToGrid w:val="0"/>
          <w:color w:val="000000"/>
          <w:sz w:val="28"/>
          <w:szCs w:val="28"/>
        </w:rPr>
        <w:t xml:space="preserve">(далее – оперативный контроль) </w:t>
      </w:r>
      <w:r>
        <w:rPr>
          <w:color w:val="000000"/>
          <w:sz w:val="28"/>
          <w:szCs w:val="28"/>
        </w:rPr>
        <w:t xml:space="preserve">в соответствии с Бюджетным кодексом Российской Федерации. Стандарт разработан с учетом действующего стандарта </w:t>
      </w:r>
      <w:r>
        <w:rPr>
          <w:iCs/>
          <w:color w:val="000000"/>
          <w:sz w:val="28"/>
          <w:szCs w:val="28"/>
        </w:rPr>
        <w:t xml:space="preserve">Счётной палаты Российской Федерации </w:t>
      </w:r>
      <w:r>
        <w:rPr>
          <w:color w:val="000000"/>
          <w:sz w:val="28"/>
          <w:szCs w:val="28"/>
        </w:rPr>
        <w:t>СГА 202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«Оперативный анализ исполнения и контроль за организацией исполнения федерального бюджета»,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Коллегией Счётной палаты Российской Федерации (протокол от 28 декабря 2013 г. № 55К</w:t>
      </w:r>
      <w:r w:rsidR="005D00B3">
        <w:rPr>
          <w:sz w:val="28"/>
          <w:szCs w:val="28"/>
        </w:rPr>
        <w:t xml:space="preserve"> (946</w:t>
      </w:r>
      <w:r>
        <w:rPr>
          <w:sz w:val="28"/>
          <w:szCs w:val="28"/>
        </w:rPr>
        <w:t>)</w:t>
      </w:r>
      <w:r w:rsidR="001E3BA3">
        <w:rPr>
          <w:sz w:val="28"/>
          <w:szCs w:val="28"/>
        </w:rPr>
        <w:t>)</w:t>
      </w:r>
      <w:r w:rsidR="001A48B1">
        <w:rPr>
          <w:sz w:val="28"/>
          <w:szCs w:val="28"/>
        </w:rPr>
        <w:t xml:space="preserve">, </w:t>
      </w:r>
      <w:r w:rsidR="00FF6DF2" w:rsidRPr="00FF6DF2">
        <w:rPr>
          <w:sz w:val="28"/>
          <w:szCs w:val="28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образований» (утв. постановлением Коллегии Счётной палаты </w:t>
      </w:r>
      <w:r w:rsidR="00123506" w:rsidRPr="00123506">
        <w:rPr>
          <w:sz w:val="28"/>
          <w:szCs w:val="28"/>
        </w:rPr>
        <w:t>Российской Федерации</w:t>
      </w:r>
      <w:r w:rsidR="00FF6DF2" w:rsidRPr="00FF6DF2">
        <w:rPr>
          <w:sz w:val="28"/>
          <w:szCs w:val="28"/>
        </w:rPr>
        <w:t xml:space="preserve"> от 29.03.2022 № 2ПК)</w:t>
      </w:r>
      <w:r w:rsidR="001A48B1" w:rsidRPr="001A48B1">
        <w:rPr>
          <w:sz w:val="28"/>
          <w:szCs w:val="28"/>
        </w:rPr>
        <w:t>.</w:t>
      </w: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Целью Стандарта</w:t>
      </w:r>
      <w:r>
        <w:rPr>
          <w:sz w:val="28"/>
          <w:szCs w:val="28"/>
        </w:rPr>
        <w:t xml:space="preserve"> является установление общих правил, требований и процедур осуществления </w:t>
      </w:r>
      <w:r>
        <w:rPr>
          <w:snapToGrid w:val="0"/>
          <w:sz w:val="28"/>
          <w:szCs w:val="28"/>
        </w:rPr>
        <w:t xml:space="preserve">оперативного </w:t>
      </w:r>
      <w:r w:rsidR="001E3BA3" w:rsidRPr="001E3BA3">
        <w:rPr>
          <w:snapToGrid w:val="0"/>
          <w:sz w:val="28"/>
          <w:szCs w:val="28"/>
        </w:rPr>
        <w:t>анализа и контроля</w:t>
      </w:r>
      <w:r>
        <w:rPr>
          <w:snapToGrid w:val="0"/>
          <w:sz w:val="28"/>
          <w:szCs w:val="28"/>
        </w:rPr>
        <w:t>, проводимого Счётной палатой города Нефтеюганска</w:t>
      </w:r>
      <w:r>
        <w:rPr>
          <w:sz w:val="28"/>
          <w:szCs w:val="28"/>
        </w:rPr>
        <w:t>.</w:t>
      </w:r>
    </w:p>
    <w:p w:rsidR="00174207" w:rsidRDefault="00174207" w:rsidP="001210BA">
      <w:pPr>
        <w:tabs>
          <w:tab w:val="left" w:pos="42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BA3">
        <w:rPr>
          <w:sz w:val="28"/>
          <w:szCs w:val="28"/>
        </w:rPr>
        <w:t>3</w:t>
      </w:r>
      <w:r>
        <w:rPr>
          <w:sz w:val="28"/>
          <w:szCs w:val="28"/>
        </w:rPr>
        <w:t xml:space="preserve">. При организации и осуществлении оперативного </w:t>
      </w:r>
      <w:r w:rsidR="001E3BA3" w:rsidRPr="001E3BA3">
        <w:rPr>
          <w:sz w:val="28"/>
          <w:szCs w:val="28"/>
        </w:rPr>
        <w:t>анализа и контроля</w:t>
      </w:r>
      <w:r>
        <w:rPr>
          <w:sz w:val="28"/>
          <w:szCs w:val="28"/>
        </w:rPr>
        <w:t xml:space="preserve"> должностные лица Счётной палаты </w:t>
      </w:r>
      <w:r>
        <w:rPr>
          <w:bCs/>
          <w:sz w:val="28"/>
          <w:szCs w:val="28"/>
        </w:rPr>
        <w:t>руководствуются</w:t>
      </w:r>
      <w:r>
        <w:rPr>
          <w:sz w:val="28"/>
          <w:szCs w:val="28"/>
        </w:rPr>
        <w:t xml:space="preserve"> бюджетным законодательством, другими законодательными и иными нормативными правовыми актами Российской Федерации и Ханты-Мансийского автономного округа - Югры, а также внутренними приказами и стандартами, включая настоящий </w:t>
      </w:r>
      <w:r>
        <w:rPr>
          <w:bCs/>
          <w:sz w:val="28"/>
          <w:szCs w:val="28"/>
        </w:rPr>
        <w:t>Стандарт.</w:t>
      </w:r>
    </w:p>
    <w:p w:rsidR="00174207" w:rsidRDefault="00174207" w:rsidP="001210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1E3BA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/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Правовой и информационной основой оперативного контроля являются:</w:t>
      </w:r>
    </w:p>
    <w:p w:rsidR="00174207" w:rsidRPr="0001229D" w:rsidRDefault="00174207" w:rsidP="001210BA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Федеральные законы Российской Федерации, законы Ханты-Мансийского автономного округа-Югры, нормативные правовые акты федеральных органов исполнительной власти Российской Федерации, нормативные правовые акты органов исполнительной власти Ханты-Мансийского автономного округа-Югры, нормативные правовые акты исполнительно-распорядительного и представительного органов местного самоуправления, относящиеся к предмету экспертно-аналитического мероприятия;</w:t>
      </w:r>
    </w:p>
    <w:p w:rsidR="00174207" w:rsidRPr="0001229D" w:rsidRDefault="00174207" w:rsidP="001210BA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решение Думы города о бюджете</w:t>
      </w:r>
      <w:r w:rsidR="005907C2" w:rsidRPr="0001229D">
        <w:rPr>
          <w:sz w:val="28"/>
          <w:szCs w:val="28"/>
        </w:rPr>
        <w:t xml:space="preserve"> города Нефтеюганск</w:t>
      </w:r>
      <w:r w:rsidRPr="0001229D">
        <w:rPr>
          <w:sz w:val="28"/>
          <w:szCs w:val="28"/>
        </w:rPr>
        <w:t>;</w:t>
      </w:r>
    </w:p>
    <w:p w:rsidR="00174207" w:rsidRPr="0001229D" w:rsidRDefault="00174207" w:rsidP="001210BA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нормативные правовые акты, принимаемые во исполнение решения о бюджете;</w:t>
      </w:r>
    </w:p>
    <w:p w:rsidR="00174207" w:rsidRPr="0001229D" w:rsidRDefault="00174207" w:rsidP="001210BA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положение о Счётной палате города Нефтеюганска, план работы на текущий год;</w:t>
      </w:r>
    </w:p>
    <w:p w:rsidR="00174207" w:rsidRPr="0001229D" w:rsidRDefault="00174207" w:rsidP="001210BA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z w:val="28"/>
          <w:szCs w:val="28"/>
        </w:rPr>
        <w:t>отчётность, предоставляемая органами исполнительно-распорядительной власти в Счётную палату;</w:t>
      </w:r>
    </w:p>
    <w:p w:rsidR="00174207" w:rsidRPr="0001229D" w:rsidRDefault="00174207" w:rsidP="001210BA">
      <w:pPr>
        <w:widowControl w:val="0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1229D">
        <w:rPr>
          <w:spacing w:val="-8"/>
          <w:sz w:val="28"/>
          <w:szCs w:val="28"/>
        </w:rPr>
        <w:t>данные, получаемые по запросам Счётной палаты (при необходимости).</w:t>
      </w:r>
    </w:p>
    <w:p w:rsidR="00B30E0A" w:rsidRPr="00B30E0A" w:rsidRDefault="00174207" w:rsidP="001210B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B30E0A" w:rsidRPr="00B30E0A">
        <w:rPr>
          <w:b/>
          <w:sz w:val="28"/>
          <w:szCs w:val="28"/>
        </w:rPr>
        <w:t xml:space="preserve">Цели, задачи, предмет и объекты оперативного анализа исполнения </w:t>
      </w:r>
    </w:p>
    <w:p w:rsidR="00174207" w:rsidRDefault="00B30E0A" w:rsidP="001210BA">
      <w:pPr>
        <w:widowControl w:val="0"/>
        <w:jc w:val="center"/>
        <w:rPr>
          <w:b/>
          <w:sz w:val="28"/>
          <w:szCs w:val="28"/>
        </w:rPr>
      </w:pPr>
      <w:r w:rsidRPr="00B30E0A">
        <w:rPr>
          <w:b/>
          <w:sz w:val="28"/>
          <w:szCs w:val="28"/>
        </w:rPr>
        <w:t>и контроля за организацией исполнения местного бюджета</w:t>
      </w:r>
    </w:p>
    <w:p w:rsidR="00174207" w:rsidRDefault="00174207" w:rsidP="001210B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2.1. Целью о</w:t>
      </w:r>
      <w:r w:rsidR="00571DD2">
        <w:rPr>
          <w:sz w:val="28"/>
          <w:szCs w:val="28"/>
        </w:rPr>
        <w:t xml:space="preserve">перативного </w:t>
      </w:r>
      <w:r w:rsidR="00B30E0A">
        <w:rPr>
          <w:sz w:val="28"/>
          <w:szCs w:val="28"/>
        </w:rPr>
        <w:t xml:space="preserve">анализа и </w:t>
      </w:r>
      <w:r w:rsidR="00571DD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является анализ поступлений доходов местного бюджета, исполнения расходов и источников финансирования дефицита бюджета в сравнении с утверждёнными показателями решения о бюджете.</w:t>
      </w: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оперативного контроля являются:</w:t>
      </w:r>
    </w:p>
    <w:p w:rsidR="00174207" w:rsidRDefault="00174207" w:rsidP="001210BA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анализ объёмов поступлений доходов местного бюджета, уровня соответствия показателей кассового исполнения по доходам показателям, утвержденным решением о бюджете;</w:t>
      </w:r>
    </w:p>
    <w:p w:rsidR="00174207" w:rsidRDefault="00174207" w:rsidP="001210BA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анализ кассового исполнения расходов местного бюджета, уровня соответствия показателей исполнения местного бюджета показателям, утвержд</w:t>
      </w:r>
      <w:r w:rsidR="0001229D">
        <w:rPr>
          <w:sz w:val="28"/>
          <w:szCs w:val="28"/>
        </w:rPr>
        <w:t>ё</w:t>
      </w:r>
      <w:r>
        <w:rPr>
          <w:sz w:val="28"/>
          <w:szCs w:val="28"/>
        </w:rPr>
        <w:t>нным решением о бюджете, сводной бюджетной росписи местного бюджета (далее - сводная бюджетная роспись) кассового плана в разрезе разделов и подразделов классификации расходов бюджетов, ведомственной структуры расходов и муниципальных программ, подпрограмм и ведомственных целевых программ;</w:t>
      </w:r>
    </w:p>
    <w:p w:rsidR="00174207" w:rsidRDefault="00174207" w:rsidP="001210BA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анализ размеров дефицита (профицита) местного бюджета, источников финансирования дефицита местного бюджета, уровня соответствия показателей исполнения местно</w:t>
      </w:r>
      <w:r w:rsidR="0001229D">
        <w:rPr>
          <w:sz w:val="28"/>
          <w:szCs w:val="28"/>
        </w:rPr>
        <w:t>го бюджета показателям, утверждё</w:t>
      </w:r>
      <w:r>
        <w:rPr>
          <w:sz w:val="28"/>
          <w:szCs w:val="28"/>
        </w:rPr>
        <w:t>нным решением о бюджете;</w:t>
      </w:r>
    </w:p>
    <w:p w:rsidR="00174207" w:rsidRDefault="00174207" w:rsidP="001210BA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организацией исполнения местного бюджета, включая соблюдение соответствия организации исполнения решения о бюджете законодательству Российской Федерации и муниципальным правовым актам, </w:t>
      </w:r>
      <w:r>
        <w:rPr>
          <w:rFonts w:eastAsia="Times New Roman"/>
          <w:sz w:val="28"/>
          <w:szCs w:val="28"/>
        </w:rPr>
        <w:t>подготовку предложений по устранению выявленных нарушений и недостатков, совершенствованию бюджетного процесса (при наличии)</w:t>
      </w:r>
      <w:r>
        <w:rPr>
          <w:sz w:val="28"/>
          <w:szCs w:val="28"/>
        </w:rPr>
        <w:t>;</w:t>
      </w:r>
    </w:p>
    <w:p w:rsidR="00174207" w:rsidRDefault="00174207" w:rsidP="001210BA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анализ объёма и структуры муниципального долга;</w:t>
      </w:r>
    </w:p>
    <w:p w:rsidR="00174207" w:rsidRDefault="00174207" w:rsidP="001210BA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анализ объёма и состава публичных нормативных обязательств;</w:t>
      </w:r>
    </w:p>
    <w:p w:rsidR="00174207" w:rsidRDefault="00174207" w:rsidP="001210BA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использования средств резервного фонда;  </w:t>
      </w:r>
    </w:p>
    <w:p w:rsidR="00174207" w:rsidRDefault="00174207" w:rsidP="001210B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Cs w:val="28"/>
        </w:rPr>
      </w:pPr>
      <w:r>
        <w:rPr>
          <w:sz w:val="28"/>
          <w:szCs w:val="28"/>
        </w:rPr>
        <w:t>выявление негативных тенденций и нарушений в ходе исполнения местного бюджета, их анализ и внесение предложений по их устранению.</w:t>
      </w: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Предметом оперативного контроля является процесс исполнения решения о бюджете, реализация положений нормативных правовых актов, регламентирующих организацию исполнения решения о бюджете и использованию средств местного бюджета, а также документы, подтверждающие планирование и исполнение бюджета города.</w:t>
      </w: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Объектами оперативного контроля являются:</w:t>
      </w:r>
    </w:p>
    <w:p w:rsidR="00174207" w:rsidRDefault="0001229D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департамент финансов администрации города Нефтеюганска;</w:t>
      </w:r>
    </w:p>
    <w:p w:rsidR="00174207" w:rsidRDefault="0001229D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главные администраторы (администраторы) доходов городского бюджета (при необходимости);</w:t>
      </w:r>
    </w:p>
    <w:p w:rsidR="00174207" w:rsidRDefault="0001229D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главные распорядители средств городского бюджета;</w:t>
      </w:r>
    </w:p>
    <w:p w:rsidR="00174207" w:rsidRDefault="0001229D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4207">
        <w:rPr>
          <w:sz w:val="28"/>
          <w:szCs w:val="28"/>
        </w:rPr>
        <w:t>главные администраторы (администраторы) источников финансирования дефицита бюджета (при необходимости).</w:t>
      </w:r>
    </w:p>
    <w:p w:rsidR="006A69FC" w:rsidRPr="006A69FC" w:rsidRDefault="00174207" w:rsidP="001210B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6A69FC" w:rsidRPr="006A69FC">
        <w:rPr>
          <w:b/>
          <w:sz w:val="28"/>
          <w:szCs w:val="28"/>
        </w:rPr>
        <w:t xml:space="preserve">Характеристики, правила и процедуры осуществления оперативного </w:t>
      </w:r>
    </w:p>
    <w:p w:rsidR="006A69FC" w:rsidRPr="006A69FC" w:rsidRDefault="006A69FC" w:rsidP="001210BA">
      <w:pPr>
        <w:widowControl w:val="0"/>
        <w:jc w:val="center"/>
        <w:rPr>
          <w:b/>
          <w:sz w:val="28"/>
          <w:szCs w:val="28"/>
        </w:rPr>
      </w:pPr>
      <w:r w:rsidRPr="006A69FC">
        <w:rPr>
          <w:b/>
          <w:sz w:val="28"/>
          <w:szCs w:val="28"/>
        </w:rPr>
        <w:t xml:space="preserve">анализа исполнения и контроля за организацией исполнения местного </w:t>
      </w:r>
    </w:p>
    <w:p w:rsidR="00174207" w:rsidRDefault="006A69FC" w:rsidP="001210BA">
      <w:pPr>
        <w:widowControl w:val="0"/>
        <w:jc w:val="center"/>
        <w:rPr>
          <w:b/>
          <w:sz w:val="28"/>
          <w:szCs w:val="28"/>
        </w:rPr>
      </w:pPr>
      <w:r w:rsidRPr="006A69FC">
        <w:rPr>
          <w:b/>
          <w:sz w:val="28"/>
          <w:szCs w:val="28"/>
        </w:rPr>
        <w:t>бюджета</w:t>
      </w:r>
    </w:p>
    <w:p w:rsidR="006A69FC" w:rsidRDefault="006A69FC" w:rsidP="001210BA">
      <w:pPr>
        <w:widowControl w:val="0"/>
        <w:jc w:val="center"/>
        <w:rPr>
          <w:sz w:val="28"/>
          <w:szCs w:val="28"/>
        </w:rPr>
      </w:pP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оперативного </w:t>
      </w:r>
      <w:r w:rsidR="00C134E6">
        <w:rPr>
          <w:sz w:val="28"/>
          <w:szCs w:val="28"/>
        </w:rPr>
        <w:t xml:space="preserve">анализа и </w:t>
      </w:r>
      <w:r>
        <w:rPr>
          <w:sz w:val="28"/>
          <w:szCs w:val="28"/>
        </w:rPr>
        <w:t xml:space="preserve">контроля </w:t>
      </w:r>
      <w:r w:rsidR="00C134E6">
        <w:rPr>
          <w:sz w:val="28"/>
          <w:szCs w:val="28"/>
        </w:rPr>
        <w:t>рассматриваются</w:t>
      </w:r>
      <w:r>
        <w:rPr>
          <w:sz w:val="28"/>
          <w:szCs w:val="28"/>
        </w:rPr>
        <w:t>: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бюджетного законодательства и нормативных правовых актов муниципального образования при организации исполнения местного бюджета;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принципов бюджетной системы Российской Федерации, определенных Бюджетным кодексом Российской Федерации;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бюджетного законодательства Российской Федерации при составлении, утверждении и доведении показателей сводной бюджетной росписи, лимитов бюджетных обязательств, предельных объемов финансирования расходов, а также при внесении изменений в них;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показателей сводной бюджетной росписи города Нефтеюганска решению о бюджете;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требований, установленных Бюджетным кодексом Российской Федерации при перераспределении бюджетных ассигнований, обоснованность изменений, вносимых в сводную бюджетную роспись, соответствие писем-обращений главных распорядителей бюджетных средств</w:t>
      </w:r>
      <w:r w:rsidR="00D1509C">
        <w:rPr>
          <w:sz w:val="28"/>
          <w:szCs w:val="28"/>
        </w:rPr>
        <w:t>,</w:t>
      </w:r>
      <w:r w:rsidR="00D228AE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справкам об изменениях;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доведение до главных распорядителей (распорядителей, получателей) бюджетных средств бюджетных ассигнований, лимитов бюджетных обязательств, предельных объемов финансирования;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исполнение доходов, уровень их соответствия показателям прогноза поступлений доходов бюджета, причины неисполнения планируемых доходов;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исполнение расходов бюджета по соответствующим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показатели, характеризующие ход реализации муниципальных программ</w:t>
      </w:r>
      <w:r w:rsidR="008A163A">
        <w:rPr>
          <w:sz w:val="28"/>
          <w:szCs w:val="28"/>
        </w:rPr>
        <w:t>, Национальных проектов Российской Федерации</w:t>
      </w:r>
      <w:r>
        <w:rPr>
          <w:sz w:val="28"/>
          <w:szCs w:val="28"/>
        </w:rPr>
        <w:t xml:space="preserve">, в том числе в разрезе подпрограмм, </w:t>
      </w:r>
      <w:r w:rsidR="008A163A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по главным распорядителям бюджетных средств;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уровень исполнения бюджетных ассигнований на публичные нормативные обязательства</w:t>
      </w:r>
      <w:r w:rsidR="00D1509C">
        <w:rPr>
          <w:sz w:val="28"/>
          <w:szCs w:val="28"/>
        </w:rPr>
        <w:t xml:space="preserve"> по сравнению с утверждё</w:t>
      </w:r>
      <w:r>
        <w:rPr>
          <w:sz w:val="28"/>
          <w:szCs w:val="28"/>
        </w:rPr>
        <w:t>нными показателями, а также обоснованность формирования перечня публичных нормативных обязательств;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межбюджетных трансфертов из соответствующих бюджетов по формам их предоставления, разделам классификации расходов и главным распорядителям;</w:t>
      </w:r>
    </w:p>
    <w:p w:rsidR="00174207" w:rsidRDefault="00D228AE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174207">
        <w:rPr>
          <w:sz w:val="28"/>
          <w:szCs w:val="28"/>
        </w:rPr>
        <w:t>мы возвращенных остатков субсидий, субвенций и иных межбюджетных трансфертов, имеющих целевое назначение, прошлых лет из местного бюджета в федеральный бюджет и бюджет субъекта Российской Федерации;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равномерность кассовых расходов в течение финансового года, причины </w:t>
      </w:r>
      <w:r>
        <w:rPr>
          <w:sz w:val="28"/>
          <w:szCs w:val="28"/>
        </w:rPr>
        <w:lastRenderedPageBreak/>
        <w:t>неравномерного исполнения;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неиспользованные объёмы бюджетных ассигнований, причины неисполнения расходов бюджета;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color w:val="000000"/>
          <w:sz w:val="28"/>
        </w:rPr>
      </w:pPr>
      <w:r>
        <w:rPr>
          <w:sz w:val="28"/>
          <w:szCs w:val="28"/>
        </w:rPr>
        <w:t>изменение показателей кассового плана, оценка точности прогнозирования главными администраторами средств бюджета показателей кассового плана по доходам и расходам;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показатели, характеризующие исполнение источников финансирования дефицита бюджета;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ход реализации программы муниципальных заимствований;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ход реализации программы муниципальных гарантий в валюте Российской Федерации;</w:t>
      </w:r>
    </w:p>
    <w:p w:rsidR="00174207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использование средств Резервного фонда;</w:t>
      </w:r>
    </w:p>
    <w:p w:rsidR="008A163A" w:rsidRDefault="00174207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состояние муниципального долга</w:t>
      </w:r>
      <w:r w:rsidR="008A163A">
        <w:rPr>
          <w:sz w:val="28"/>
          <w:szCs w:val="28"/>
        </w:rPr>
        <w:t>;</w:t>
      </w:r>
    </w:p>
    <w:p w:rsidR="00174207" w:rsidRDefault="008A163A" w:rsidP="001210BA">
      <w:pPr>
        <w:widowControl w:val="0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иные вопросы в рамках полномочий в сфере внешнего муниципального финансового контроля, установленные законодательством Российской Федерации</w:t>
      </w:r>
      <w:r w:rsidR="00EA3844">
        <w:rPr>
          <w:sz w:val="28"/>
          <w:szCs w:val="28"/>
        </w:rPr>
        <w:t xml:space="preserve"> (при необходимости)</w:t>
      </w:r>
      <w:r w:rsidR="00174207">
        <w:rPr>
          <w:sz w:val="28"/>
          <w:szCs w:val="28"/>
        </w:rPr>
        <w:t>.</w:t>
      </w:r>
    </w:p>
    <w:p w:rsidR="00174207" w:rsidRDefault="00D228AE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проведё</w:t>
      </w:r>
      <w:r w:rsidR="00174207">
        <w:rPr>
          <w:sz w:val="28"/>
          <w:szCs w:val="28"/>
        </w:rPr>
        <w:t xml:space="preserve">нного анализа </w:t>
      </w:r>
      <w:r w:rsidR="008A163A">
        <w:rPr>
          <w:sz w:val="28"/>
          <w:szCs w:val="28"/>
        </w:rPr>
        <w:t xml:space="preserve">и контроля </w:t>
      </w:r>
      <w:r w:rsidR="00174207">
        <w:rPr>
          <w:sz w:val="28"/>
          <w:szCs w:val="28"/>
        </w:rPr>
        <w:t>по итогам исполнения городского бюджета за первое полугодие и 9 месяцев текущего года осуществляется оценка ожидаемого исполнения бюджетов до конца финансового года, подготовка предложений по корректировке и исполнению в полном объёме показателей решения о бюджете</w:t>
      </w:r>
      <w:r w:rsidR="008A163A">
        <w:rPr>
          <w:sz w:val="28"/>
          <w:szCs w:val="28"/>
        </w:rPr>
        <w:t xml:space="preserve"> (при необходимости)</w:t>
      </w:r>
      <w:r w:rsidR="00174207">
        <w:rPr>
          <w:sz w:val="28"/>
          <w:szCs w:val="28"/>
        </w:rPr>
        <w:t>.</w:t>
      </w:r>
    </w:p>
    <w:p w:rsidR="00174207" w:rsidRDefault="00174207" w:rsidP="001210BA">
      <w:pPr>
        <w:widowControl w:val="0"/>
        <w:jc w:val="center"/>
        <w:outlineLvl w:val="1"/>
        <w:rPr>
          <w:b/>
          <w:sz w:val="28"/>
          <w:szCs w:val="28"/>
        </w:rPr>
      </w:pPr>
    </w:p>
    <w:p w:rsidR="00174207" w:rsidRDefault="00174207" w:rsidP="001210BA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A69FC" w:rsidRPr="006A69FC">
        <w:rPr>
          <w:b/>
          <w:sz w:val="28"/>
          <w:szCs w:val="28"/>
        </w:rPr>
        <w:t>Основные этапы осуществления оперативного анализа исполнения и контроля за организацией исполнения местного бюджета</w:t>
      </w:r>
    </w:p>
    <w:p w:rsidR="006A69FC" w:rsidRDefault="006A69FC" w:rsidP="001210BA">
      <w:pPr>
        <w:widowControl w:val="0"/>
        <w:jc w:val="center"/>
        <w:outlineLvl w:val="1"/>
        <w:rPr>
          <w:b/>
          <w:sz w:val="28"/>
          <w:szCs w:val="28"/>
        </w:rPr>
      </w:pP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</w:t>
      </w:r>
      <w:r w:rsidR="008A163A" w:rsidRPr="008A163A">
        <w:rPr>
          <w:sz w:val="28"/>
          <w:szCs w:val="28"/>
        </w:rPr>
        <w:t xml:space="preserve">анализ исполнения и контроля за организацией исполнения </w:t>
      </w:r>
      <w:r>
        <w:rPr>
          <w:sz w:val="28"/>
          <w:szCs w:val="28"/>
        </w:rPr>
        <w:t xml:space="preserve">бюджета </w:t>
      </w:r>
      <w:r w:rsidR="00D228AE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проводится в два этапа:</w:t>
      </w: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– </w:t>
      </w:r>
      <w:r w:rsidR="006A69FC">
        <w:rPr>
          <w:sz w:val="28"/>
          <w:szCs w:val="28"/>
        </w:rPr>
        <w:t>п</w:t>
      </w:r>
      <w:r w:rsidR="006A69FC" w:rsidRPr="006A69FC">
        <w:rPr>
          <w:sz w:val="28"/>
          <w:szCs w:val="28"/>
        </w:rPr>
        <w:t>одготовка документов</w:t>
      </w:r>
      <w:r w:rsidR="006A69FC">
        <w:rPr>
          <w:sz w:val="28"/>
          <w:szCs w:val="28"/>
        </w:rPr>
        <w:t xml:space="preserve">, необходимых для осуществления </w:t>
      </w:r>
      <w:r w:rsidR="006A69FC" w:rsidRPr="006A69FC">
        <w:rPr>
          <w:sz w:val="28"/>
          <w:szCs w:val="28"/>
        </w:rPr>
        <w:t xml:space="preserve">оперативного анализа исполнения и контроля </w:t>
      </w:r>
      <w:r w:rsidR="006A69FC">
        <w:rPr>
          <w:sz w:val="28"/>
          <w:szCs w:val="28"/>
        </w:rPr>
        <w:t xml:space="preserve">за организацией </w:t>
      </w:r>
      <w:r w:rsidR="006A69FC" w:rsidRPr="006A69FC">
        <w:rPr>
          <w:sz w:val="28"/>
          <w:szCs w:val="28"/>
        </w:rPr>
        <w:t>исполнения местного бюджета</w:t>
      </w:r>
      <w:r>
        <w:rPr>
          <w:sz w:val="28"/>
          <w:szCs w:val="28"/>
        </w:rPr>
        <w:t>;</w:t>
      </w: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этап – </w:t>
      </w:r>
      <w:r w:rsidR="006A69FC">
        <w:rPr>
          <w:sz w:val="28"/>
          <w:szCs w:val="28"/>
        </w:rPr>
        <w:t>о</w:t>
      </w:r>
      <w:r w:rsidR="006A69FC" w:rsidRPr="006A69FC">
        <w:rPr>
          <w:sz w:val="28"/>
          <w:szCs w:val="28"/>
        </w:rPr>
        <w:t>существление оперативного анализа исполнения и контроля за организацией исполнения местного бюджета, подготовка, оформление результатов оперативного анализа и контроля</w:t>
      </w:r>
      <w:r>
        <w:rPr>
          <w:sz w:val="28"/>
          <w:szCs w:val="28"/>
        </w:rPr>
        <w:t>.</w:t>
      </w:r>
    </w:p>
    <w:p w:rsidR="00174207" w:rsidRDefault="00174207" w:rsidP="001210BA">
      <w:pPr>
        <w:widowControl w:val="0"/>
        <w:jc w:val="center"/>
        <w:rPr>
          <w:b/>
          <w:sz w:val="28"/>
          <w:szCs w:val="28"/>
        </w:rPr>
      </w:pPr>
    </w:p>
    <w:p w:rsidR="006A69FC" w:rsidRDefault="00174207" w:rsidP="001210B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C134E6">
        <w:rPr>
          <w:b/>
          <w:sz w:val="28"/>
          <w:szCs w:val="28"/>
        </w:rPr>
        <w:t>П</w:t>
      </w:r>
      <w:r w:rsidR="006A69FC" w:rsidRPr="006A69FC">
        <w:rPr>
          <w:b/>
          <w:sz w:val="28"/>
          <w:szCs w:val="28"/>
        </w:rPr>
        <w:t xml:space="preserve">одготовка документов, необходимых </w:t>
      </w:r>
    </w:p>
    <w:p w:rsidR="00174207" w:rsidRDefault="006A69FC" w:rsidP="001210BA">
      <w:pPr>
        <w:widowControl w:val="0"/>
        <w:jc w:val="center"/>
        <w:rPr>
          <w:b/>
          <w:sz w:val="28"/>
          <w:szCs w:val="28"/>
        </w:rPr>
      </w:pPr>
      <w:r w:rsidRPr="006A69FC">
        <w:rPr>
          <w:b/>
          <w:sz w:val="28"/>
          <w:szCs w:val="28"/>
        </w:rPr>
        <w:t>для осуществления оперативного анализа исполнения и контроля за организацией исполнения местного бюджета</w:t>
      </w:r>
    </w:p>
    <w:p w:rsidR="006A69FC" w:rsidRDefault="006A69FC" w:rsidP="001210BA">
      <w:pPr>
        <w:widowControl w:val="0"/>
        <w:jc w:val="center"/>
        <w:rPr>
          <w:b/>
          <w:sz w:val="28"/>
          <w:szCs w:val="28"/>
        </w:rPr>
      </w:pPr>
    </w:p>
    <w:p w:rsidR="00174207" w:rsidRDefault="00174207" w:rsidP="001210BA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проведения </w:t>
      </w:r>
      <w:r w:rsidR="00C134E6" w:rsidRPr="00C134E6">
        <w:rPr>
          <w:sz w:val="28"/>
          <w:szCs w:val="28"/>
        </w:rPr>
        <w:t xml:space="preserve">оперативного анализа исполнения и контроля за организацией исполнения местного бюджета </w:t>
      </w:r>
      <w:r>
        <w:rPr>
          <w:sz w:val="28"/>
          <w:szCs w:val="28"/>
        </w:rPr>
        <w:t>разрабатываются документы, которые включают в себя:</w:t>
      </w:r>
    </w:p>
    <w:p w:rsidR="00174207" w:rsidRDefault="00174207" w:rsidP="001210B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1) и</w:t>
      </w:r>
      <w:r>
        <w:rPr>
          <w:rFonts w:eastAsia="Times New Roman"/>
          <w:snapToGrid w:val="0"/>
          <w:sz w:val="28"/>
          <w:szCs w:val="28"/>
        </w:rPr>
        <w:t xml:space="preserve">здание </w:t>
      </w:r>
      <w:r w:rsidR="00C134E6">
        <w:rPr>
          <w:rFonts w:eastAsia="Times New Roman"/>
          <w:sz w:val="28"/>
          <w:szCs w:val="28"/>
        </w:rPr>
        <w:t xml:space="preserve">распоряжения председателя </w:t>
      </w:r>
      <w:r>
        <w:rPr>
          <w:rFonts w:eastAsia="Times New Roman"/>
          <w:sz w:val="28"/>
          <w:szCs w:val="28"/>
        </w:rPr>
        <w:t>Счётной палаты города Нефтеюганска (приложение</w:t>
      </w:r>
      <w:r w:rsidR="005150C7">
        <w:rPr>
          <w:rFonts w:eastAsia="Times New Roman"/>
          <w:sz w:val="28"/>
          <w:szCs w:val="28"/>
        </w:rPr>
        <w:t xml:space="preserve"> </w:t>
      </w:r>
      <w:r w:rsidR="00C307E4">
        <w:rPr>
          <w:rFonts w:eastAsia="Times New Roman"/>
          <w:sz w:val="28"/>
          <w:szCs w:val="28"/>
        </w:rPr>
        <w:t>№ 1). В нё</w:t>
      </w:r>
      <w:r>
        <w:rPr>
          <w:rFonts w:eastAsia="Times New Roman"/>
          <w:sz w:val="28"/>
          <w:szCs w:val="28"/>
        </w:rPr>
        <w:t>м указываются:</w:t>
      </w:r>
    </w:p>
    <w:p w:rsidR="00174207" w:rsidRDefault="00174207" w:rsidP="001210BA">
      <w:pPr>
        <w:numPr>
          <w:ilvl w:val="0"/>
          <w:numId w:val="14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подготовки к проведению мероприятия;</w:t>
      </w:r>
    </w:p>
    <w:p w:rsidR="00174207" w:rsidRDefault="00174207" w:rsidP="001210BA">
      <w:pPr>
        <w:numPr>
          <w:ilvl w:val="0"/>
          <w:numId w:val="14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ответственные исполнители подготовки и проведения экспертно-аналитического мероприятия;</w:t>
      </w:r>
    </w:p>
    <w:p w:rsidR="00174207" w:rsidRDefault="00174207" w:rsidP="001210BA">
      <w:pPr>
        <w:numPr>
          <w:ilvl w:val="0"/>
          <w:numId w:val="14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подготовки и представления на утверждение программы проведения мероприятия;</w:t>
      </w:r>
    </w:p>
    <w:p w:rsidR="00174207" w:rsidRDefault="00174207" w:rsidP="001210B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утверждение программы проведения экспертно-аналитического мероприятия (приложение № 2), которая должна содержать следующие данные:</w:t>
      </w:r>
    </w:p>
    <w:p w:rsidR="00174207" w:rsidRDefault="00174207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 для проведения экспертно-аналитического мероприятия;</w:t>
      </w:r>
    </w:p>
    <w:p w:rsidR="00174207" w:rsidRDefault="00174207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 экспертно-аналитического мероприятия;</w:t>
      </w:r>
    </w:p>
    <w:p w:rsidR="00174207" w:rsidRDefault="00174207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 (объекты) экспертно-аналитического мероприятия (при их наличии);</w:t>
      </w:r>
    </w:p>
    <w:p w:rsidR="00174207" w:rsidRDefault="00174207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(цели) экспертно-аналитического мероприятия;</w:t>
      </w:r>
    </w:p>
    <w:p w:rsidR="00174207" w:rsidRDefault="00174207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экспертно-аналитического мероприятия;</w:t>
      </w:r>
    </w:p>
    <w:p w:rsidR="00174207" w:rsidRDefault="00174207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исследуемый период деятельности (если он не указан в наименовании мероприятия);</w:t>
      </w:r>
    </w:p>
    <w:p w:rsidR="00174207" w:rsidRDefault="00174207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начала и окончания экспертно-аналитического мероприятия;</w:t>
      </w:r>
    </w:p>
    <w:p w:rsidR="00174207" w:rsidRDefault="00174207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ответственных исполнителей мероприятия (с указанием должностей, инициалов и фамилий руководителя и исполнителей программы);</w:t>
      </w:r>
    </w:p>
    <w:p w:rsidR="00174207" w:rsidRDefault="00F002C2" w:rsidP="001210BA">
      <w:pPr>
        <w:numPr>
          <w:ilvl w:val="0"/>
          <w:numId w:val="15"/>
        </w:numPr>
        <w:ind w:left="0"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</w:t>
      </w:r>
      <w:r w:rsidR="00174207">
        <w:rPr>
          <w:rFonts w:eastAsia="Times New Roman"/>
          <w:sz w:val="28"/>
          <w:szCs w:val="28"/>
        </w:rPr>
        <w:t xml:space="preserve"> предоставления отчёта о результатах экспертно-аналитического мероприятия.</w:t>
      </w:r>
    </w:p>
    <w:p w:rsidR="00174207" w:rsidRDefault="00174207" w:rsidP="001210B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экспертно-аналитического мероприятия утверждается председателем Счётной палаты города Нефтеюганска.</w:t>
      </w:r>
    </w:p>
    <w:p w:rsidR="00174207" w:rsidRDefault="00174207" w:rsidP="001210B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проведения экспертно-аналитического мероприятия в программу могут быть внесены изменения.</w:t>
      </w:r>
    </w:p>
    <w:p w:rsidR="00174207" w:rsidRDefault="00174207" w:rsidP="001210BA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уведомления о проведении экспертно-аналитического мероприятия на объектах (приложение № 3), в случае проведения экспертно-аналитического мероприятия, предусматривающего выезд (выход) на места расположения объектов мероприятия.</w:t>
      </w:r>
    </w:p>
    <w:p w:rsidR="00174207" w:rsidRDefault="00174207" w:rsidP="001210BA">
      <w:pPr>
        <w:ind w:firstLine="709"/>
        <w:jc w:val="both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sz w:val="28"/>
          <w:szCs w:val="28"/>
        </w:rPr>
        <w:t>Счётной палатой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города </w:t>
      </w:r>
      <w:r>
        <w:rPr>
          <w:rFonts w:eastAsia="Times New Roman"/>
          <w:snapToGrid w:val="0"/>
          <w:sz w:val="28"/>
          <w:szCs w:val="28"/>
        </w:rPr>
        <w:t>могут направляться запросы руководителям объектов мероприятия о предоставлении информации необходимой информации для проведения экспертно-аналитического мероприятия.</w:t>
      </w:r>
    </w:p>
    <w:p w:rsidR="00174207" w:rsidRDefault="00174207" w:rsidP="001210BA">
      <w:pPr>
        <w:widowControl w:val="0"/>
        <w:jc w:val="center"/>
        <w:rPr>
          <w:b/>
          <w:sz w:val="28"/>
          <w:szCs w:val="28"/>
        </w:rPr>
      </w:pPr>
    </w:p>
    <w:p w:rsidR="00174207" w:rsidRDefault="00174207" w:rsidP="001210B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C134E6">
        <w:rPr>
          <w:b/>
          <w:sz w:val="28"/>
          <w:szCs w:val="28"/>
        </w:rPr>
        <w:t>О</w:t>
      </w:r>
      <w:r w:rsidR="00C134E6" w:rsidRPr="00C134E6">
        <w:rPr>
          <w:b/>
          <w:sz w:val="28"/>
          <w:szCs w:val="28"/>
        </w:rPr>
        <w:t>существление оперативного анализа исполнения и контроля за организацией исполнения местного бюджета, подготовка, оформление результатов оперативного анализа и контроля</w:t>
      </w:r>
    </w:p>
    <w:p w:rsidR="00F002C2" w:rsidRDefault="00F002C2" w:rsidP="001210BA">
      <w:pPr>
        <w:widowControl w:val="0"/>
        <w:jc w:val="center"/>
        <w:rPr>
          <w:b/>
          <w:sz w:val="28"/>
          <w:szCs w:val="28"/>
        </w:rPr>
      </w:pPr>
    </w:p>
    <w:p w:rsidR="00FF6DF2" w:rsidRPr="002B71B9" w:rsidRDefault="00FF6DF2" w:rsidP="00FF6DF2">
      <w:pPr>
        <w:widowControl w:val="0"/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2B71B9">
        <w:rPr>
          <w:rFonts w:eastAsia="Times New Roman"/>
          <w:snapToGrid w:val="0"/>
          <w:sz w:val="28"/>
          <w:szCs w:val="28"/>
        </w:rPr>
        <w:t xml:space="preserve">Экспертно-аналитическое мероприятие по осуществлению оперативного анализа исполнения и контроля за организацией исполнения местного бюджета проводится </w:t>
      </w:r>
      <w:r w:rsidRPr="002B71B9">
        <w:rPr>
          <w:snapToGrid w:val="0"/>
          <w:sz w:val="28"/>
          <w:szCs w:val="28"/>
        </w:rPr>
        <w:t xml:space="preserve">ежеквартально (нарастающим итогом) </w:t>
      </w:r>
      <w:r w:rsidRPr="002B71B9">
        <w:rPr>
          <w:rFonts w:eastAsia="Times New Roman"/>
          <w:snapToGrid w:val="0"/>
          <w:sz w:val="28"/>
          <w:szCs w:val="28"/>
        </w:rPr>
        <w:t>в соответствии с утверждённым в установленном порядке Планом работы С</w:t>
      </w:r>
      <w:r w:rsidRPr="002B71B9">
        <w:rPr>
          <w:rFonts w:eastAsia="Times New Roman"/>
          <w:spacing w:val="-5"/>
          <w:sz w:val="28"/>
          <w:szCs w:val="28"/>
        </w:rPr>
        <w:t>чётной палаты</w:t>
      </w:r>
      <w:r w:rsidRPr="002B71B9">
        <w:rPr>
          <w:rFonts w:eastAsia="Times New Roman"/>
          <w:snapToGrid w:val="0"/>
          <w:sz w:val="28"/>
          <w:szCs w:val="28"/>
        </w:rPr>
        <w:t xml:space="preserve"> города Нефтеюганска на текущий год.</w:t>
      </w:r>
    </w:p>
    <w:p w:rsidR="00FF6DF2" w:rsidRPr="002B71B9" w:rsidRDefault="00FF6DF2" w:rsidP="00FF6DF2">
      <w:pPr>
        <w:widowControl w:val="0"/>
        <w:tabs>
          <w:tab w:val="left" w:pos="7065"/>
        </w:tabs>
        <w:ind w:firstLine="720"/>
        <w:jc w:val="both"/>
        <w:rPr>
          <w:sz w:val="28"/>
          <w:szCs w:val="28"/>
        </w:rPr>
      </w:pPr>
      <w:r w:rsidRPr="002B71B9">
        <w:rPr>
          <w:sz w:val="28"/>
          <w:szCs w:val="28"/>
        </w:rPr>
        <w:t>По результатам экспертно-аналитического мероприятия подготавливается отчёт (</w:t>
      </w:r>
      <w:r w:rsidRPr="002B71B9">
        <w:rPr>
          <w:bCs/>
          <w:sz w:val="28"/>
          <w:szCs w:val="28"/>
        </w:rPr>
        <w:t xml:space="preserve">ежеквартально с </w:t>
      </w:r>
      <w:r w:rsidRPr="002B71B9">
        <w:rPr>
          <w:sz w:val="28"/>
          <w:szCs w:val="28"/>
        </w:rPr>
        <w:t xml:space="preserve">нарастающим итогом) с аналитической запиской </w:t>
      </w:r>
      <w:r w:rsidRPr="0086495B">
        <w:rPr>
          <w:sz w:val="28"/>
          <w:szCs w:val="28"/>
        </w:rPr>
        <w:t xml:space="preserve">по оперативному анализу исполнения и контроля за организацией исполнения бюджета города </w:t>
      </w:r>
      <w:r w:rsidRPr="002B71B9">
        <w:rPr>
          <w:sz w:val="28"/>
          <w:szCs w:val="28"/>
        </w:rPr>
        <w:t xml:space="preserve">за соответствующий период текущего финансового года в </w:t>
      </w:r>
      <w:r w:rsidRPr="002B71B9">
        <w:rPr>
          <w:sz w:val="28"/>
          <w:szCs w:val="28"/>
        </w:rPr>
        <w:lastRenderedPageBreak/>
        <w:t>сравнении с показателями, утвержденными решением о бюджете, сводной бюджетной росписью.</w:t>
      </w:r>
    </w:p>
    <w:p w:rsidR="00FF6DF2" w:rsidRPr="002B71B9" w:rsidRDefault="00FF6DF2" w:rsidP="00FF6DF2">
      <w:pPr>
        <w:widowControl w:val="0"/>
        <w:ind w:firstLine="720"/>
        <w:jc w:val="both"/>
        <w:rPr>
          <w:sz w:val="28"/>
          <w:szCs w:val="28"/>
        </w:rPr>
      </w:pPr>
      <w:r w:rsidRPr="002B71B9">
        <w:rPr>
          <w:sz w:val="28"/>
          <w:szCs w:val="28"/>
        </w:rPr>
        <w:t xml:space="preserve">Отчёт имеет табличную форму. Аналитическая записка </w:t>
      </w:r>
      <w:r w:rsidRPr="0086495B">
        <w:rPr>
          <w:sz w:val="28"/>
          <w:szCs w:val="28"/>
        </w:rPr>
        <w:t>по оперативному анализу исполнения и контроля за организацией исполнения бюджета города</w:t>
      </w:r>
      <w:r w:rsidRPr="002B71B9">
        <w:rPr>
          <w:sz w:val="28"/>
          <w:szCs w:val="28"/>
        </w:rPr>
        <w:t xml:space="preserve"> должна содержать, как правило не более 15 страниц текста (без приложений). </w:t>
      </w:r>
    </w:p>
    <w:p w:rsidR="00FF6DF2" w:rsidRPr="002B71B9" w:rsidRDefault="00FF6DF2" w:rsidP="00FF6DF2">
      <w:pPr>
        <w:widowControl w:val="0"/>
        <w:ind w:firstLine="720"/>
        <w:jc w:val="both"/>
        <w:rPr>
          <w:iCs/>
          <w:sz w:val="28"/>
          <w:szCs w:val="28"/>
        </w:rPr>
      </w:pPr>
      <w:r w:rsidRPr="002B71B9">
        <w:rPr>
          <w:iCs/>
          <w:sz w:val="28"/>
          <w:szCs w:val="28"/>
        </w:rPr>
        <w:t xml:space="preserve">В аналитической записке </w:t>
      </w:r>
      <w:r w:rsidRPr="0086495B">
        <w:rPr>
          <w:iCs/>
          <w:sz w:val="28"/>
          <w:szCs w:val="28"/>
        </w:rPr>
        <w:t>по оперативному анализу исполнения и контроля за организацией исполнения бюджета города</w:t>
      </w:r>
      <w:r w:rsidRPr="002B71B9">
        <w:rPr>
          <w:iCs/>
          <w:sz w:val="28"/>
          <w:szCs w:val="28"/>
        </w:rPr>
        <w:t xml:space="preserve"> за соответствующий период текущего финансового года отражаются информация об:</w:t>
      </w:r>
    </w:p>
    <w:p w:rsidR="00FF6DF2" w:rsidRPr="002B71B9" w:rsidRDefault="00FF6DF2" w:rsidP="00FF6DF2">
      <w:pPr>
        <w:widowControl w:val="0"/>
        <w:ind w:firstLine="720"/>
        <w:jc w:val="both"/>
        <w:rPr>
          <w:iCs/>
          <w:sz w:val="28"/>
          <w:szCs w:val="28"/>
        </w:rPr>
      </w:pPr>
      <w:r w:rsidRPr="002B71B9">
        <w:rPr>
          <w:sz w:val="28"/>
          <w:szCs w:val="28"/>
        </w:rPr>
        <w:t>- исполнении доходов городского бюджета в сравнении с плановыми показателями;</w:t>
      </w:r>
      <w:r w:rsidRPr="002B71B9">
        <w:rPr>
          <w:iCs/>
          <w:sz w:val="28"/>
          <w:szCs w:val="28"/>
        </w:rPr>
        <w:t xml:space="preserve"> </w:t>
      </w:r>
    </w:p>
    <w:p w:rsidR="00FF6DF2" w:rsidRPr="002B71B9" w:rsidRDefault="00FF6DF2" w:rsidP="00FF6DF2">
      <w:pPr>
        <w:widowControl w:val="0"/>
        <w:ind w:firstLine="720"/>
        <w:jc w:val="both"/>
        <w:rPr>
          <w:sz w:val="28"/>
          <w:szCs w:val="28"/>
        </w:rPr>
      </w:pPr>
      <w:r w:rsidRPr="002B71B9">
        <w:rPr>
          <w:sz w:val="28"/>
          <w:szCs w:val="28"/>
        </w:rPr>
        <w:t>- исполнении расходов и результатах анализа исполнения главными распорядителями бюджетных средств, погашении источников финансирования дефицита бюджета в сравнении с показателями, утвержденными решением о городском бюджете с учетом внесенных изменений;</w:t>
      </w:r>
    </w:p>
    <w:p w:rsidR="00FF6DF2" w:rsidRPr="002B71B9" w:rsidRDefault="00FF6DF2" w:rsidP="00FF6DF2">
      <w:pPr>
        <w:widowControl w:val="0"/>
        <w:ind w:firstLine="720"/>
        <w:jc w:val="both"/>
        <w:rPr>
          <w:sz w:val="28"/>
          <w:szCs w:val="28"/>
        </w:rPr>
      </w:pPr>
      <w:r w:rsidRPr="002B71B9">
        <w:rPr>
          <w:rFonts w:eastAsia="Times New Roman"/>
          <w:color w:val="000000"/>
          <w:sz w:val="28"/>
          <w:szCs w:val="28"/>
        </w:rPr>
        <w:t>- реализации Национальных проектов Российской Федерации, муниципальных программ и ведомственных целевых программ</w:t>
      </w:r>
      <w:r w:rsidRPr="002B71B9">
        <w:rPr>
          <w:sz w:val="28"/>
          <w:szCs w:val="28"/>
        </w:rPr>
        <w:t>;</w:t>
      </w:r>
    </w:p>
    <w:p w:rsidR="00FF6DF2" w:rsidRPr="002B71B9" w:rsidRDefault="00FF6DF2" w:rsidP="00FF6DF2">
      <w:pPr>
        <w:widowControl w:val="0"/>
        <w:ind w:firstLine="720"/>
        <w:jc w:val="both"/>
        <w:rPr>
          <w:sz w:val="28"/>
          <w:szCs w:val="28"/>
        </w:rPr>
      </w:pPr>
      <w:r w:rsidRPr="002B71B9">
        <w:rPr>
          <w:sz w:val="28"/>
          <w:szCs w:val="28"/>
        </w:rPr>
        <w:t>- объёме и структуре внутреннего (внешнего) муниципального долга города Нефтеюганска, размер профицита (дефицита) городского бюджета;</w:t>
      </w:r>
    </w:p>
    <w:p w:rsidR="00FF6DF2" w:rsidRPr="002B71B9" w:rsidRDefault="00FF6DF2" w:rsidP="00FF6DF2">
      <w:pPr>
        <w:widowControl w:val="0"/>
        <w:ind w:firstLine="720"/>
        <w:jc w:val="both"/>
        <w:rPr>
          <w:sz w:val="28"/>
          <w:szCs w:val="28"/>
        </w:rPr>
      </w:pPr>
      <w:r w:rsidRPr="002B71B9">
        <w:rPr>
          <w:sz w:val="28"/>
          <w:szCs w:val="28"/>
        </w:rPr>
        <w:t>- использовании резервного фонда администрации города;</w:t>
      </w:r>
    </w:p>
    <w:p w:rsidR="00FF6DF2" w:rsidRPr="002B71B9" w:rsidRDefault="00FF6DF2" w:rsidP="00FF6DF2">
      <w:pPr>
        <w:widowControl w:val="0"/>
        <w:ind w:firstLine="720"/>
        <w:jc w:val="both"/>
        <w:rPr>
          <w:sz w:val="28"/>
          <w:szCs w:val="28"/>
        </w:rPr>
      </w:pPr>
      <w:r w:rsidRPr="002B71B9">
        <w:rPr>
          <w:sz w:val="28"/>
          <w:szCs w:val="28"/>
        </w:rPr>
        <w:t>- исполнении публичных нормативных обязательств;</w:t>
      </w:r>
    </w:p>
    <w:p w:rsidR="00FF6DF2" w:rsidRPr="002B71B9" w:rsidRDefault="00FF6DF2" w:rsidP="00FF6DF2">
      <w:pPr>
        <w:widowControl w:val="0"/>
        <w:ind w:firstLine="708"/>
        <w:jc w:val="both"/>
        <w:rPr>
          <w:sz w:val="28"/>
          <w:szCs w:val="28"/>
        </w:rPr>
      </w:pPr>
      <w:r w:rsidRPr="002B71B9">
        <w:rPr>
          <w:sz w:val="28"/>
          <w:szCs w:val="28"/>
        </w:rPr>
        <w:t>- выводы и предложения.</w:t>
      </w:r>
    </w:p>
    <w:p w:rsidR="00FF6DF2" w:rsidRPr="002B71B9" w:rsidRDefault="00FF6DF2" w:rsidP="00FF6DF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2B71B9">
        <w:rPr>
          <w:color w:val="000000"/>
          <w:sz w:val="28"/>
          <w:szCs w:val="28"/>
        </w:rPr>
        <w:t xml:space="preserve">Срок формирования отчёта и аналитической записки </w:t>
      </w:r>
      <w:r w:rsidRPr="00004D42">
        <w:rPr>
          <w:color w:val="000000"/>
          <w:sz w:val="28"/>
          <w:szCs w:val="28"/>
        </w:rPr>
        <w:t xml:space="preserve">по оперативному анализу исполнения и контроля за организацией исполнения бюджета </w:t>
      </w:r>
      <w:r w:rsidRPr="002B71B9">
        <w:rPr>
          <w:color w:val="000000"/>
          <w:sz w:val="28"/>
          <w:szCs w:val="28"/>
        </w:rPr>
        <w:t>составляет 30 дней с момента поступления отчёта об исполнении бюджета города в Счётную палату города Нефтеюганска.</w:t>
      </w:r>
      <w:r w:rsidRPr="002B71B9">
        <w:rPr>
          <w:sz w:val="28"/>
          <w:szCs w:val="28"/>
        </w:rPr>
        <w:t xml:space="preserve"> Аналитическая записка </w:t>
      </w:r>
      <w:r w:rsidRPr="00004D42">
        <w:rPr>
          <w:sz w:val="28"/>
          <w:szCs w:val="28"/>
        </w:rPr>
        <w:t xml:space="preserve">по оперативному анализу исполнения и контроля за организацией исполнения бюджета </w:t>
      </w:r>
      <w:r w:rsidRPr="002B71B9">
        <w:rPr>
          <w:sz w:val="28"/>
          <w:szCs w:val="28"/>
        </w:rPr>
        <w:t>подписывается ответственными исполнителями экспертно-аналитического мероприятия.</w:t>
      </w:r>
    </w:p>
    <w:p w:rsidR="00FF6DF2" w:rsidRPr="002B71B9" w:rsidRDefault="00FF6DF2" w:rsidP="00FF6DF2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B71B9">
        <w:rPr>
          <w:color w:val="000000"/>
          <w:sz w:val="28"/>
          <w:szCs w:val="28"/>
        </w:rPr>
        <w:t>тчёт</w:t>
      </w:r>
      <w:r w:rsidRPr="003A5611">
        <w:t xml:space="preserve"> </w:t>
      </w:r>
      <w:r w:rsidRPr="003A5611">
        <w:rPr>
          <w:color w:val="000000"/>
          <w:sz w:val="28"/>
          <w:szCs w:val="28"/>
        </w:rPr>
        <w:t>по оперативному анализу исполнения и контроля за организацией исполнения бюджета</w:t>
      </w:r>
      <w:r w:rsidRPr="002B71B9">
        <w:rPr>
          <w:color w:val="000000"/>
          <w:sz w:val="28"/>
          <w:szCs w:val="28"/>
        </w:rPr>
        <w:t>, утвержденный Председателем Счётной палаты, направляется главе города и председателю Думы города.</w:t>
      </w:r>
    </w:p>
    <w:p w:rsidR="00174207" w:rsidRDefault="00174207" w:rsidP="00FF6DF2">
      <w:pPr>
        <w:keepNext/>
        <w:jc w:val="both"/>
        <w:outlineLvl w:val="2"/>
        <w:rPr>
          <w:i/>
          <w:color w:val="000000"/>
          <w:sz w:val="26"/>
          <w:szCs w:val="26"/>
        </w:rPr>
      </w:pPr>
    </w:p>
    <w:p w:rsidR="00174207" w:rsidRDefault="00174207" w:rsidP="00FF6DF2"/>
    <w:p w:rsidR="00174207" w:rsidRDefault="00174207" w:rsidP="00FF6DF2"/>
    <w:p w:rsidR="00174207" w:rsidRDefault="00174207" w:rsidP="00FF6DF2"/>
    <w:p w:rsidR="00174207" w:rsidRDefault="00174207" w:rsidP="00FF6DF2"/>
    <w:p w:rsidR="00174207" w:rsidRDefault="00174207" w:rsidP="00FF6DF2"/>
    <w:p w:rsidR="00174207" w:rsidRDefault="00174207" w:rsidP="00FF6DF2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174207" w:rsidRDefault="00174207" w:rsidP="00174207"/>
    <w:p w:rsidR="00E52D43" w:rsidRDefault="00E52D43" w:rsidP="00E52D43">
      <w:pPr>
        <w:keepNext/>
        <w:jc w:val="right"/>
        <w:outlineLvl w:val="2"/>
        <w:rPr>
          <w:i/>
          <w:color w:val="000000"/>
          <w:sz w:val="26"/>
          <w:szCs w:val="26"/>
        </w:rPr>
      </w:pPr>
      <w:r w:rsidRPr="00E52D43">
        <w:rPr>
          <w:color w:val="000000"/>
          <w:sz w:val="28"/>
          <w:szCs w:val="28"/>
        </w:rPr>
        <w:t>Приложение № 1 к стандарту</w:t>
      </w:r>
    </w:p>
    <w:p w:rsidR="00E52D43" w:rsidRDefault="00E52D43" w:rsidP="00174207">
      <w:pPr>
        <w:keepNext/>
        <w:jc w:val="both"/>
        <w:outlineLvl w:val="2"/>
        <w:rPr>
          <w:i/>
          <w:color w:val="000000"/>
          <w:sz w:val="26"/>
          <w:szCs w:val="26"/>
        </w:rPr>
      </w:pPr>
    </w:p>
    <w:p w:rsidR="00FF6DF2" w:rsidRPr="003A5611" w:rsidRDefault="00FF6DF2" w:rsidP="00FF6DF2">
      <w:pPr>
        <w:jc w:val="center"/>
        <w:outlineLvl w:val="2"/>
        <w:rPr>
          <w:rFonts w:eastAsia="Times New Roman"/>
          <w:i/>
          <w:snapToGrid w:val="0"/>
          <w:sz w:val="28"/>
          <w:szCs w:val="28"/>
        </w:rPr>
      </w:pPr>
      <w:r w:rsidRPr="003A5611">
        <w:rPr>
          <w:rFonts w:eastAsia="Times New Roman"/>
          <w:i/>
          <w:snapToGrid w:val="0"/>
          <w:sz w:val="28"/>
          <w:szCs w:val="28"/>
        </w:rPr>
        <w:t>Образец оформления распоряжения председателя Счётной палаты города Нефтеюганска</w:t>
      </w:r>
    </w:p>
    <w:p w:rsidR="00FF6DF2" w:rsidRPr="003A5611" w:rsidRDefault="00FF6DF2" w:rsidP="00FF6DF2">
      <w:pPr>
        <w:jc w:val="right"/>
        <w:outlineLvl w:val="2"/>
        <w:rPr>
          <w:rFonts w:eastAsia="Times New Roman"/>
          <w:i/>
          <w:snapToGrid w:val="0"/>
          <w:sz w:val="28"/>
          <w:szCs w:val="28"/>
        </w:rPr>
      </w:pPr>
    </w:p>
    <w:p w:rsidR="00FF6DF2" w:rsidRPr="003A5611" w:rsidRDefault="00FF6DF2" w:rsidP="00FF6DF2">
      <w:pPr>
        <w:jc w:val="right"/>
        <w:outlineLvl w:val="2"/>
        <w:rPr>
          <w:snapToGrid w:val="0"/>
          <w:sz w:val="28"/>
          <w:szCs w:val="28"/>
        </w:rPr>
      </w:pPr>
    </w:p>
    <w:p w:rsidR="00FF6DF2" w:rsidRPr="003A5611" w:rsidRDefault="00FF6DF2" w:rsidP="00FF6DF2">
      <w:pPr>
        <w:tabs>
          <w:tab w:val="left" w:pos="4253"/>
          <w:tab w:val="left" w:pos="5387"/>
        </w:tabs>
        <w:jc w:val="center"/>
        <w:rPr>
          <w:rFonts w:eastAsia="Times New Roman"/>
          <w:sz w:val="24"/>
          <w:szCs w:val="24"/>
        </w:rPr>
      </w:pPr>
      <w:r w:rsidRPr="003A5611">
        <w:rPr>
          <w:rFonts w:eastAsia="Times New Roman"/>
          <w:noProof/>
          <w:sz w:val="24"/>
          <w:szCs w:val="24"/>
        </w:rPr>
        <w:drawing>
          <wp:inline distT="0" distB="0" distL="0" distR="0" wp14:anchorId="37626E1B" wp14:editId="5626C04C">
            <wp:extent cx="691515" cy="8350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DF2" w:rsidRPr="003A5611" w:rsidRDefault="00FF6DF2" w:rsidP="00FF6DF2">
      <w:pPr>
        <w:rPr>
          <w:rFonts w:eastAsia="Times New Roman"/>
          <w:sz w:val="28"/>
          <w:szCs w:val="28"/>
        </w:rPr>
      </w:pPr>
    </w:p>
    <w:p w:rsidR="00FF6DF2" w:rsidRPr="003A5611" w:rsidRDefault="00FF6DF2" w:rsidP="00FF6DF2">
      <w:pPr>
        <w:jc w:val="center"/>
        <w:rPr>
          <w:rFonts w:eastAsia="Times New Roman"/>
          <w:b/>
          <w:sz w:val="32"/>
          <w:szCs w:val="32"/>
        </w:rPr>
      </w:pPr>
      <w:r w:rsidRPr="003A5611">
        <w:rPr>
          <w:rFonts w:eastAsia="Times New Roman"/>
          <w:b/>
          <w:sz w:val="32"/>
          <w:szCs w:val="32"/>
        </w:rPr>
        <w:t>ПРЕДСЕДАТЕЛЬ СЧЁТНОЙ ПАЛАТЫ</w:t>
      </w:r>
    </w:p>
    <w:p w:rsidR="00FF6DF2" w:rsidRPr="003A5611" w:rsidRDefault="00FF6DF2" w:rsidP="00FF6DF2">
      <w:pPr>
        <w:jc w:val="center"/>
        <w:rPr>
          <w:rFonts w:eastAsia="Times New Roman"/>
          <w:b/>
          <w:sz w:val="40"/>
          <w:szCs w:val="40"/>
        </w:rPr>
      </w:pPr>
      <w:r w:rsidRPr="003A5611">
        <w:rPr>
          <w:rFonts w:eastAsia="Times New Roman"/>
          <w:b/>
          <w:sz w:val="32"/>
          <w:szCs w:val="32"/>
        </w:rPr>
        <w:t>ГОРОДА НЕФТЕЮГАНСКА</w:t>
      </w:r>
    </w:p>
    <w:p w:rsidR="00FF6DF2" w:rsidRPr="003A5611" w:rsidRDefault="00FF6DF2" w:rsidP="00FF6DF2">
      <w:pPr>
        <w:jc w:val="center"/>
        <w:rPr>
          <w:rFonts w:eastAsia="Times New Roman"/>
          <w:sz w:val="10"/>
          <w:szCs w:val="10"/>
        </w:rPr>
      </w:pPr>
    </w:p>
    <w:p w:rsidR="00FF6DF2" w:rsidRPr="003A5611" w:rsidRDefault="00FF6DF2" w:rsidP="00FF6DF2">
      <w:pPr>
        <w:jc w:val="center"/>
        <w:rPr>
          <w:rFonts w:eastAsia="Times New Roman"/>
          <w:b/>
          <w:sz w:val="40"/>
          <w:szCs w:val="40"/>
        </w:rPr>
      </w:pPr>
      <w:r w:rsidRPr="003A5611">
        <w:rPr>
          <w:rFonts w:eastAsia="Times New Roman"/>
          <w:b/>
          <w:sz w:val="40"/>
          <w:szCs w:val="40"/>
        </w:rPr>
        <w:t>РАСПОРЯЖЕНИЕ</w:t>
      </w:r>
    </w:p>
    <w:p w:rsidR="00FF6DF2" w:rsidRPr="003A5611" w:rsidRDefault="00FF6DF2" w:rsidP="00FF6DF2">
      <w:pPr>
        <w:jc w:val="center"/>
        <w:outlineLvl w:val="2"/>
        <w:rPr>
          <w:snapToGrid w:val="0"/>
          <w:sz w:val="28"/>
          <w:szCs w:val="28"/>
        </w:rPr>
      </w:pPr>
    </w:p>
    <w:p w:rsidR="00FF6DF2" w:rsidRPr="003A5611" w:rsidRDefault="00FF6DF2" w:rsidP="00FF6D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DF2" w:rsidRPr="003A5611" w:rsidRDefault="00FF6DF2" w:rsidP="00FF6D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5611">
        <w:rPr>
          <w:sz w:val="28"/>
          <w:szCs w:val="28"/>
        </w:rPr>
        <w:t>«____»___________                                                                              №__________</w:t>
      </w:r>
    </w:p>
    <w:p w:rsidR="00FF6DF2" w:rsidRPr="003A5611" w:rsidRDefault="00FF6DF2" w:rsidP="00FF6D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DF2" w:rsidRPr="003A5611" w:rsidRDefault="00FF6DF2" w:rsidP="00FF6D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DF2" w:rsidRPr="003A5611" w:rsidRDefault="00FF6DF2" w:rsidP="00FF6DF2">
      <w:pPr>
        <w:jc w:val="center"/>
        <w:rPr>
          <w:rFonts w:eastAsia="Times New Roman"/>
          <w:sz w:val="28"/>
          <w:szCs w:val="28"/>
        </w:rPr>
      </w:pPr>
      <w:r w:rsidRPr="003A5611">
        <w:rPr>
          <w:rFonts w:eastAsia="Times New Roman"/>
          <w:sz w:val="28"/>
          <w:szCs w:val="28"/>
        </w:rPr>
        <w:t>о проведении экспертно-аналитического мероприятия</w:t>
      </w:r>
    </w:p>
    <w:p w:rsidR="00FF6DF2" w:rsidRPr="003A5611" w:rsidRDefault="00FF6DF2" w:rsidP="00FF6DF2"/>
    <w:p w:rsidR="00FF6DF2" w:rsidRPr="003A5611" w:rsidRDefault="00FF6DF2" w:rsidP="00FF6DF2"/>
    <w:p w:rsidR="00FF6DF2" w:rsidRPr="003A5611" w:rsidRDefault="00FF6DF2" w:rsidP="00FF6DF2">
      <w:pPr>
        <w:ind w:firstLine="709"/>
        <w:rPr>
          <w:sz w:val="26"/>
          <w:szCs w:val="26"/>
        </w:rPr>
      </w:pPr>
      <w:r w:rsidRPr="003A5611">
        <w:rPr>
          <w:sz w:val="26"/>
          <w:szCs w:val="26"/>
        </w:rPr>
        <w:t xml:space="preserve">1. В соответствии с Планом работы Счётной палаты города Нефтеюганска на ___ год (пункт ____) осуществить подготовку и проведение </w:t>
      </w:r>
      <w:proofErr w:type="spellStart"/>
      <w:r w:rsidRPr="003A5611">
        <w:rPr>
          <w:sz w:val="26"/>
          <w:szCs w:val="26"/>
        </w:rPr>
        <w:t>экспертно</w:t>
      </w:r>
      <w:proofErr w:type="spellEnd"/>
      <w:r w:rsidRPr="003A5611">
        <w:rPr>
          <w:sz w:val="26"/>
          <w:szCs w:val="26"/>
        </w:rPr>
        <w:t xml:space="preserve"> -аналитического мероприятия_________________________________________________</w:t>
      </w:r>
    </w:p>
    <w:p w:rsidR="00FF6DF2" w:rsidRPr="003A5611" w:rsidRDefault="00FF6DF2" w:rsidP="00FF6DF2">
      <w:pPr>
        <w:rPr>
          <w:snapToGrid w:val="0"/>
          <w:sz w:val="26"/>
          <w:szCs w:val="26"/>
          <w:vertAlign w:val="superscript"/>
        </w:rPr>
      </w:pPr>
      <w:r w:rsidRPr="003A5611">
        <w:rPr>
          <w:sz w:val="26"/>
          <w:szCs w:val="26"/>
          <w:vertAlign w:val="superscript"/>
        </w:rPr>
        <w:t xml:space="preserve">                                                                                (наименование </w:t>
      </w:r>
      <w:r w:rsidRPr="003A5611">
        <w:rPr>
          <w:snapToGrid w:val="0"/>
          <w:sz w:val="26"/>
          <w:szCs w:val="26"/>
          <w:vertAlign w:val="superscript"/>
        </w:rPr>
        <w:t>экспертно-аналитического мероприятия)</w:t>
      </w:r>
    </w:p>
    <w:p w:rsidR="00FF6DF2" w:rsidRPr="003A5611" w:rsidRDefault="00FF6DF2" w:rsidP="00FF6DF2">
      <w:pPr>
        <w:rPr>
          <w:sz w:val="26"/>
          <w:szCs w:val="26"/>
        </w:rPr>
      </w:pPr>
      <w:r w:rsidRPr="003A5611">
        <w:rPr>
          <w:sz w:val="26"/>
          <w:szCs w:val="26"/>
        </w:rPr>
        <w:t xml:space="preserve">с ________________ по_________________ 20__года. </w:t>
      </w:r>
    </w:p>
    <w:p w:rsidR="00FF6DF2" w:rsidRPr="003A5611" w:rsidRDefault="00FF6DF2" w:rsidP="00FF6DF2">
      <w:pPr>
        <w:jc w:val="both"/>
        <w:rPr>
          <w:color w:val="000000"/>
          <w:sz w:val="26"/>
          <w:szCs w:val="26"/>
          <w:vertAlign w:val="superscript"/>
        </w:rPr>
      </w:pPr>
      <w:r w:rsidRPr="003A5611">
        <w:rPr>
          <w:color w:val="000000"/>
          <w:sz w:val="26"/>
          <w:szCs w:val="26"/>
          <w:vertAlign w:val="superscript"/>
        </w:rPr>
        <w:t xml:space="preserve">                                               </w:t>
      </w:r>
    </w:p>
    <w:p w:rsidR="00FF6DF2" w:rsidRPr="003A5611" w:rsidRDefault="00FF6DF2" w:rsidP="00FF6DF2">
      <w:pPr>
        <w:ind w:firstLine="709"/>
        <w:rPr>
          <w:sz w:val="26"/>
          <w:szCs w:val="26"/>
        </w:rPr>
      </w:pPr>
      <w:r w:rsidRPr="003A5611">
        <w:rPr>
          <w:sz w:val="26"/>
          <w:szCs w:val="26"/>
        </w:rPr>
        <w:t>2. Назначить ответственными исполнителями подготовки и проведения мероприятия:</w:t>
      </w:r>
    </w:p>
    <w:p w:rsidR="00FF6DF2" w:rsidRPr="003A5611" w:rsidRDefault="00FF6DF2" w:rsidP="00FF6DF2">
      <w:pPr>
        <w:rPr>
          <w:sz w:val="26"/>
          <w:szCs w:val="26"/>
        </w:rPr>
      </w:pPr>
      <w:r w:rsidRPr="003A5611">
        <w:rPr>
          <w:sz w:val="26"/>
          <w:szCs w:val="26"/>
        </w:rPr>
        <w:t>руководитель______________________________________________________________</w:t>
      </w:r>
    </w:p>
    <w:p w:rsidR="00FF6DF2" w:rsidRPr="003A5611" w:rsidRDefault="00FF6DF2" w:rsidP="00FF6DF2">
      <w:pPr>
        <w:jc w:val="center"/>
        <w:rPr>
          <w:sz w:val="26"/>
          <w:szCs w:val="26"/>
          <w:vertAlign w:val="superscript"/>
        </w:rPr>
      </w:pPr>
      <w:r w:rsidRPr="003A5611">
        <w:rPr>
          <w:sz w:val="26"/>
          <w:szCs w:val="26"/>
          <w:vertAlign w:val="superscript"/>
        </w:rPr>
        <w:t>(имя, отчество, фамилия, должность)</w:t>
      </w:r>
    </w:p>
    <w:p w:rsidR="00FF6DF2" w:rsidRPr="003A5611" w:rsidRDefault="00FF6DF2" w:rsidP="00FF6DF2">
      <w:pPr>
        <w:rPr>
          <w:sz w:val="26"/>
          <w:szCs w:val="26"/>
        </w:rPr>
      </w:pPr>
      <w:r w:rsidRPr="003A5611">
        <w:rPr>
          <w:sz w:val="26"/>
          <w:szCs w:val="26"/>
        </w:rPr>
        <w:t>исполнители_______________________________________________________________</w:t>
      </w:r>
    </w:p>
    <w:p w:rsidR="00FF6DF2" w:rsidRPr="003A5611" w:rsidRDefault="00FF6DF2" w:rsidP="00FF6DF2">
      <w:pPr>
        <w:jc w:val="center"/>
        <w:rPr>
          <w:sz w:val="26"/>
          <w:szCs w:val="26"/>
          <w:vertAlign w:val="superscript"/>
        </w:rPr>
      </w:pPr>
      <w:r w:rsidRPr="003A5611">
        <w:rPr>
          <w:sz w:val="26"/>
          <w:szCs w:val="26"/>
          <w:vertAlign w:val="superscript"/>
        </w:rPr>
        <w:t>(имя, отчество, фамилия, должность)</w:t>
      </w:r>
    </w:p>
    <w:p w:rsidR="00FF6DF2" w:rsidRPr="003A5611" w:rsidRDefault="00FF6DF2" w:rsidP="00FF6DF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6"/>
          <w:szCs w:val="26"/>
        </w:rPr>
      </w:pPr>
      <w:r w:rsidRPr="003A5611">
        <w:rPr>
          <w:rFonts w:eastAsia="Times New Roman"/>
          <w:sz w:val="26"/>
          <w:szCs w:val="26"/>
        </w:rPr>
        <w:t>3. Подготовить и представить на утверждение программ</w:t>
      </w:r>
      <w:r>
        <w:rPr>
          <w:rFonts w:eastAsia="Times New Roman"/>
          <w:sz w:val="26"/>
          <w:szCs w:val="26"/>
        </w:rPr>
        <w:t>у</w:t>
      </w:r>
      <w:r w:rsidRPr="003A5611">
        <w:rPr>
          <w:rFonts w:eastAsia="Times New Roman"/>
          <w:sz w:val="26"/>
          <w:szCs w:val="26"/>
        </w:rPr>
        <w:t xml:space="preserve"> проведения экспертно-аналитического мероприятия __________20____года.</w:t>
      </w:r>
    </w:p>
    <w:p w:rsidR="00FF6DF2" w:rsidRPr="003A5611" w:rsidRDefault="00FF6DF2" w:rsidP="00FF6DF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FF6DF2" w:rsidRPr="003A5611" w:rsidRDefault="002C52F6" w:rsidP="002C52F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6"/>
          <w:szCs w:val="26"/>
        </w:rPr>
      </w:pPr>
      <w:bookmarkStart w:id="0" w:name="_GoBack"/>
      <w:bookmarkEnd w:id="0"/>
      <w:r w:rsidRPr="002C52F6">
        <w:rPr>
          <w:rFonts w:eastAsia="Times New Roman"/>
          <w:sz w:val="26"/>
          <w:szCs w:val="26"/>
        </w:rPr>
        <w:t>4. Контроль за исполнением распоряжения оставляю за собой.</w:t>
      </w:r>
    </w:p>
    <w:p w:rsidR="00FF6DF2" w:rsidRPr="003A5611" w:rsidRDefault="00FF6DF2" w:rsidP="00FF6DF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FF6DF2" w:rsidRPr="003A5611" w:rsidRDefault="00FF6DF2" w:rsidP="00FF6DF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FF6DF2" w:rsidRPr="003A5611" w:rsidRDefault="00FF6DF2" w:rsidP="00FF6DF2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6"/>
          <w:szCs w:val="26"/>
        </w:rPr>
      </w:pPr>
    </w:p>
    <w:p w:rsidR="00FF6DF2" w:rsidRPr="003A5611" w:rsidRDefault="00FF6DF2" w:rsidP="00FF6DF2">
      <w:pPr>
        <w:rPr>
          <w:sz w:val="26"/>
          <w:szCs w:val="26"/>
        </w:rPr>
      </w:pPr>
      <w:r w:rsidRPr="003A5611">
        <w:rPr>
          <w:sz w:val="26"/>
          <w:szCs w:val="26"/>
        </w:rPr>
        <w:t xml:space="preserve">Должность                                            </w:t>
      </w:r>
      <w:r w:rsidRPr="003A5611">
        <w:rPr>
          <w:i/>
          <w:sz w:val="26"/>
          <w:szCs w:val="26"/>
        </w:rPr>
        <w:t>личная подпись</w:t>
      </w:r>
      <w:r w:rsidRPr="003A5611">
        <w:rPr>
          <w:sz w:val="26"/>
          <w:szCs w:val="26"/>
        </w:rPr>
        <w:t xml:space="preserve">                         инициалы, фамилия                              </w:t>
      </w:r>
    </w:p>
    <w:p w:rsidR="00FF6DF2" w:rsidRPr="003A5611" w:rsidRDefault="00FF6DF2" w:rsidP="00FF6DF2">
      <w:pPr>
        <w:rPr>
          <w:sz w:val="26"/>
          <w:szCs w:val="26"/>
        </w:rPr>
      </w:pPr>
      <w:r w:rsidRPr="003A561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F6DF2" w:rsidRPr="003A5611" w:rsidRDefault="00FF6DF2" w:rsidP="00FF6DF2">
      <w:pPr>
        <w:rPr>
          <w:sz w:val="26"/>
          <w:szCs w:val="26"/>
        </w:rPr>
      </w:pPr>
      <w:r w:rsidRPr="003A561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</w:p>
    <w:p w:rsidR="00FF6DF2" w:rsidRDefault="00FF6DF2" w:rsidP="00FF6DF2">
      <w:pPr>
        <w:rPr>
          <w:sz w:val="28"/>
          <w:szCs w:val="28"/>
        </w:rPr>
      </w:pPr>
      <w:r w:rsidRPr="003A5611">
        <w:rPr>
          <w:sz w:val="26"/>
          <w:szCs w:val="26"/>
        </w:rPr>
        <w:t xml:space="preserve">                                                                                           </w:t>
      </w:r>
    </w:p>
    <w:p w:rsidR="00E52D43" w:rsidRDefault="00E52D43" w:rsidP="00E277CD">
      <w:pPr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 к стандарту</w:t>
      </w:r>
    </w:p>
    <w:p w:rsidR="00E52D43" w:rsidRDefault="00E52D43" w:rsidP="00174207">
      <w:pPr>
        <w:ind w:right="-1"/>
        <w:jc w:val="both"/>
        <w:rPr>
          <w:i/>
          <w:sz w:val="26"/>
          <w:szCs w:val="26"/>
        </w:rPr>
      </w:pPr>
    </w:p>
    <w:p w:rsidR="00174207" w:rsidRDefault="00174207" w:rsidP="00E52D43">
      <w:pPr>
        <w:ind w:right="-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Образец оформления программы проведения экспертно-аналитического мероприятия</w:t>
      </w:r>
    </w:p>
    <w:p w:rsidR="00174207" w:rsidRDefault="00174207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УТВЕРЖДАЮ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Председатель Счётной палаты 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</w:t>
      </w:r>
      <w:r w:rsidR="00E52D43">
        <w:rPr>
          <w:rFonts w:eastAsia="Times New Roman"/>
          <w:sz w:val="26"/>
          <w:szCs w:val="26"/>
        </w:rPr>
        <w:t xml:space="preserve">      </w:t>
      </w:r>
      <w:r>
        <w:rPr>
          <w:rFonts w:eastAsia="Times New Roman"/>
          <w:sz w:val="26"/>
          <w:szCs w:val="26"/>
        </w:rPr>
        <w:t xml:space="preserve"> города Нефтеюганска 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 xml:space="preserve">___________________________                             </w:t>
      </w:r>
    </w:p>
    <w:p w:rsidR="00174207" w:rsidRDefault="00174207" w:rsidP="00174207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i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                   инициалы и фамилия</w:t>
      </w:r>
    </w:p>
    <w:p w:rsidR="00174207" w:rsidRDefault="00174207" w:rsidP="00174207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«___»________________20__г.</w:t>
      </w:r>
    </w:p>
    <w:p w:rsidR="00174207" w:rsidRDefault="00174207" w:rsidP="00174207">
      <w:pPr>
        <w:keepNext/>
        <w:ind w:left="284" w:right="-1"/>
        <w:jc w:val="center"/>
        <w:outlineLvl w:val="1"/>
        <w:rPr>
          <w:b/>
          <w:color w:val="000000"/>
          <w:sz w:val="26"/>
          <w:szCs w:val="26"/>
        </w:rPr>
      </w:pPr>
    </w:p>
    <w:p w:rsidR="00174207" w:rsidRDefault="00174207" w:rsidP="00E52D43">
      <w:pPr>
        <w:keepNext/>
        <w:ind w:right="-1"/>
        <w:jc w:val="center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Программа</w:t>
      </w:r>
    </w:p>
    <w:p w:rsidR="00174207" w:rsidRDefault="00174207" w:rsidP="00E52D43">
      <w:pPr>
        <w:keepNext/>
        <w:ind w:right="-1"/>
        <w:jc w:val="center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проведения экспертно-аналитического мероприятия</w:t>
      </w:r>
    </w:p>
    <w:p w:rsidR="00174207" w:rsidRDefault="00174207" w:rsidP="00174207">
      <w:pPr>
        <w:keepNext/>
        <w:ind w:right="-1"/>
        <w:jc w:val="center"/>
        <w:outlineLvl w:val="2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«______________________________________________________________»</w:t>
      </w:r>
    </w:p>
    <w:p w:rsidR="00174207" w:rsidRDefault="00174207" w:rsidP="00174207">
      <w:pPr>
        <w:keepNext/>
        <w:ind w:right="-1"/>
        <w:jc w:val="center"/>
        <w:outlineLvl w:val="2"/>
        <w:rPr>
          <w:b/>
          <w:color w:val="000000"/>
          <w:sz w:val="26"/>
          <w:szCs w:val="26"/>
          <w:vertAlign w:val="superscript"/>
        </w:rPr>
      </w:pPr>
      <w:r>
        <w:rPr>
          <w:b/>
          <w:color w:val="000000"/>
          <w:sz w:val="26"/>
          <w:szCs w:val="26"/>
          <w:vertAlign w:val="superscript"/>
        </w:rPr>
        <w:t>(наименование экспертно-аналитического мероприятия)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1. Основание для проведения экспертно-аналитического мероприятия: _____________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(пункт плана работы Счётной палаты города Нефтеюганска, </w:t>
      </w:r>
      <w:r>
        <w:rPr>
          <w:snapToGrid w:val="0"/>
          <w:sz w:val="26"/>
          <w:szCs w:val="26"/>
          <w:vertAlign w:val="superscript"/>
        </w:rPr>
        <w:t>иные основания для проведения экспертно-аналитического мероприятия, предусмотренные Положением о</w:t>
      </w:r>
      <w:r>
        <w:rPr>
          <w:sz w:val="26"/>
          <w:szCs w:val="26"/>
          <w:vertAlign w:val="superscript"/>
        </w:rPr>
        <w:t xml:space="preserve"> Счётной палате города Нефтеюганска</w:t>
      </w:r>
      <w:r>
        <w:rPr>
          <w:snapToGrid w:val="0"/>
          <w:sz w:val="26"/>
          <w:szCs w:val="26"/>
          <w:vertAlign w:val="superscript"/>
        </w:rPr>
        <w:t>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2. Предмет экспертно-аналитического мероприятия: ____________________________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(указывается, что именно проверяется)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3. Объекты экспертно-аналитического мероприятия: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3.1. ______________________________________________________________________;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3.2. ______________________________________________________________________.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(наименование объектов)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4. Цели и вопросы экспертно-аналитического мероприятия: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4.1. Цель </w:t>
      </w:r>
      <w:r w:rsidR="00E52D43">
        <w:rPr>
          <w:sz w:val="26"/>
          <w:szCs w:val="26"/>
        </w:rPr>
        <w:t>1 _</w:t>
      </w:r>
      <w:r>
        <w:rPr>
          <w:sz w:val="26"/>
          <w:szCs w:val="26"/>
        </w:rPr>
        <w:t>______________________________________________________________;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(формулировка цели)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4.1.1. Вопросы: 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4.2. Цель 2 _______________________________________________________________;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(формулировка цели)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4.2.1. Вопросы: 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5. Исследуемый период: ____________________________________________________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6. Сроки проведения экспертно-аналитического мероприятия: с</w:t>
      </w:r>
      <w:r w:rsidR="00E52D4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__________по ______.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7. Состав ответственных исполнителей: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- руководитель мероприятия: ___________________________________;</w:t>
      </w:r>
    </w:p>
    <w:p w:rsidR="00174207" w:rsidRPr="00A41886" w:rsidRDefault="00174207" w:rsidP="00174207">
      <w:pPr>
        <w:ind w:right="-1"/>
        <w:jc w:val="center"/>
        <w:rPr>
          <w:sz w:val="16"/>
          <w:szCs w:val="16"/>
        </w:rPr>
      </w:pPr>
      <w:r w:rsidRPr="00A41886">
        <w:rPr>
          <w:sz w:val="16"/>
          <w:szCs w:val="16"/>
        </w:rPr>
        <w:t>(</w:t>
      </w:r>
      <w:r w:rsidRPr="00A41886">
        <w:rPr>
          <w:sz w:val="16"/>
          <w:szCs w:val="16"/>
          <w:lang w:eastAsia="en-US"/>
        </w:rPr>
        <w:t>должность, инициалы, фамилия)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- исполнители мероприятия: ________________________________________;</w:t>
      </w:r>
    </w:p>
    <w:p w:rsidR="00174207" w:rsidRDefault="00E67E0C" w:rsidP="00174207">
      <w:pPr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инициалы, фамилия</w:t>
      </w:r>
      <w:r w:rsidR="00174207">
        <w:rPr>
          <w:sz w:val="16"/>
          <w:szCs w:val="16"/>
        </w:rPr>
        <w:t>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8. Срок представления отчёта о результатах экспертно-аналитического мероприятия до «__</w:t>
      </w:r>
      <w:r w:rsidR="00E52D43">
        <w:rPr>
          <w:sz w:val="26"/>
          <w:szCs w:val="26"/>
        </w:rPr>
        <w:t>_» _</w:t>
      </w:r>
      <w:r>
        <w:rPr>
          <w:sz w:val="26"/>
          <w:szCs w:val="26"/>
        </w:rPr>
        <w:t>________20__года.</w:t>
      </w:r>
    </w:p>
    <w:p w:rsidR="00A41886" w:rsidRDefault="00A41886" w:rsidP="00E52D43">
      <w:pPr>
        <w:ind w:right="-1"/>
        <w:jc w:val="right"/>
        <w:rPr>
          <w:sz w:val="26"/>
          <w:szCs w:val="26"/>
        </w:rPr>
      </w:pPr>
    </w:p>
    <w:p w:rsidR="00A41886" w:rsidRDefault="00A41886" w:rsidP="00E52D43">
      <w:pPr>
        <w:ind w:right="-1"/>
        <w:jc w:val="right"/>
        <w:rPr>
          <w:sz w:val="26"/>
          <w:szCs w:val="26"/>
        </w:rPr>
      </w:pPr>
    </w:p>
    <w:p w:rsidR="00A41886" w:rsidRDefault="00A41886" w:rsidP="00E52D43">
      <w:pPr>
        <w:ind w:right="-1"/>
        <w:jc w:val="right"/>
        <w:rPr>
          <w:sz w:val="26"/>
          <w:szCs w:val="26"/>
        </w:rPr>
      </w:pPr>
    </w:p>
    <w:p w:rsidR="00A41886" w:rsidRDefault="00A41886" w:rsidP="00E52D43">
      <w:pPr>
        <w:ind w:right="-1"/>
        <w:jc w:val="right"/>
        <w:rPr>
          <w:sz w:val="26"/>
          <w:szCs w:val="26"/>
        </w:rPr>
      </w:pPr>
    </w:p>
    <w:p w:rsidR="00E52D43" w:rsidRDefault="00E52D43" w:rsidP="00E52D43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 к стандарту</w:t>
      </w:r>
    </w:p>
    <w:p w:rsidR="00E52D43" w:rsidRDefault="00E52D43" w:rsidP="00174207">
      <w:pPr>
        <w:ind w:right="-1"/>
        <w:jc w:val="both"/>
        <w:rPr>
          <w:i/>
          <w:sz w:val="26"/>
          <w:szCs w:val="26"/>
        </w:rPr>
      </w:pPr>
    </w:p>
    <w:p w:rsidR="00174207" w:rsidRDefault="00174207" w:rsidP="00E52D43">
      <w:pPr>
        <w:ind w:right="-1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Образец оформления </w:t>
      </w:r>
      <w:r>
        <w:rPr>
          <w:i/>
          <w:snapToGrid w:val="0"/>
          <w:sz w:val="26"/>
          <w:szCs w:val="26"/>
        </w:rPr>
        <w:t>уведомления о проведении экспертно-аналитического мероприятия</w:t>
      </w:r>
    </w:p>
    <w:p w:rsidR="00174207" w:rsidRDefault="00174207" w:rsidP="00174207">
      <w:pPr>
        <w:ind w:right="-1"/>
        <w:jc w:val="right"/>
        <w:rPr>
          <w:sz w:val="26"/>
          <w:szCs w:val="26"/>
        </w:rPr>
      </w:pPr>
    </w:p>
    <w:p w:rsidR="00174207" w:rsidRDefault="00174207" w:rsidP="00174207">
      <w:pPr>
        <w:overflowPunct w:val="0"/>
        <w:autoSpaceDE w:val="0"/>
        <w:autoSpaceDN w:val="0"/>
        <w:adjustRightInd w:val="0"/>
        <w:ind w:left="284" w:right="-1"/>
        <w:jc w:val="center"/>
        <w:textAlignment w:val="baseline"/>
        <w:rPr>
          <w:rFonts w:eastAsia="Times New Roman"/>
          <w:sz w:val="26"/>
          <w:szCs w:val="26"/>
        </w:rPr>
      </w:pPr>
    </w:p>
    <w:p w:rsidR="00174207" w:rsidRDefault="00174207" w:rsidP="00E52D43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фирменном бланке Счётной палаты города Нефтеюганска</w:t>
      </w:r>
    </w:p>
    <w:p w:rsidR="00174207" w:rsidRDefault="00174207" w:rsidP="00174207">
      <w:pPr>
        <w:ind w:left="426" w:right="-1"/>
        <w:rPr>
          <w:i/>
          <w:sz w:val="26"/>
          <w:szCs w:val="26"/>
        </w:rPr>
      </w:pPr>
    </w:p>
    <w:tbl>
      <w:tblPr>
        <w:tblpPr w:leftFromText="180" w:rightFromText="180" w:vertAnchor="text" w:horzAnchor="margin" w:tblpY="5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DA488C" w:rsidTr="00DA488C">
        <w:trPr>
          <w:cantSplit/>
        </w:trPr>
        <w:tc>
          <w:tcPr>
            <w:tcW w:w="4962" w:type="dxa"/>
          </w:tcPr>
          <w:p w:rsidR="00DA488C" w:rsidRDefault="00DA488C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DA488C" w:rsidRDefault="00DA488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Должность руководителя проверяемого объекта</w:t>
            </w:r>
          </w:p>
          <w:p w:rsidR="00DA488C" w:rsidRDefault="00DA488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</w:p>
          <w:p w:rsidR="00DA488C" w:rsidRDefault="00DA488C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eastAsia="Times New Roman"/>
                <w:caps/>
                <w:sz w:val="26"/>
                <w:szCs w:val="26"/>
              </w:rPr>
            </w:pPr>
            <w:r>
              <w:rPr>
                <w:rFonts w:eastAsia="Times New Roman"/>
                <w:caps/>
                <w:sz w:val="26"/>
                <w:szCs w:val="26"/>
              </w:rPr>
              <w:t>ИНИЦИАЛЫ, ФАМИЛИЯ</w:t>
            </w:r>
          </w:p>
        </w:tc>
      </w:tr>
    </w:tbl>
    <w:p w:rsidR="00174207" w:rsidRDefault="00174207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Уважаемый (ая) </w:t>
      </w:r>
      <w:r>
        <w:rPr>
          <w:i/>
          <w:sz w:val="26"/>
          <w:szCs w:val="26"/>
        </w:rPr>
        <w:t>имя отчество</w:t>
      </w:r>
      <w:r>
        <w:rPr>
          <w:sz w:val="26"/>
          <w:szCs w:val="26"/>
        </w:rPr>
        <w:t>!</w:t>
      </w:r>
    </w:p>
    <w:p w:rsidR="00174207" w:rsidRDefault="00174207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Счётная палата города Нефтеюганска уведомляет Вас, что в соответствии с________________________________________________________________________,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(пункт плана работы Счётной палаты, </w:t>
      </w:r>
      <w:r>
        <w:rPr>
          <w:snapToGrid w:val="0"/>
          <w:sz w:val="26"/>
          <w:szCs w:val="26"/>
          <w:vertAlign w:val="superscript"/>
        </w:rPr>
        <w:t>иные основания для проведения экспертно-аналитического мероприятия, предусмотренные Положением о Счётной палате города Нефтеюганска)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в _____________________________________________________________ сотрудники: </w:t>
      </w:r>
    </w:p>
    <w:p w:rsidR="00174207" w:rsidRDefault="00174207" w:rsidP="00174207">
      <w:pPr>
        <w:ind w:right="-1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(наименование объекта экспертно-аналитического мероприятия)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_________________________________________________________________________;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_________________________________________________________________________;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(должность, инициалы, фамилия)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будут проводить экспертно-аналитическое мероприятие _______________________».</w:t>
      </w:r>
    </w:p>
    <w:p w:rsidR="00174207" w:rsidRDefault="00174207" w:rsidP="00174207">
      <w:pPr>
        <w:ind w:right="-1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(наименование экспертно-аналитического мероприятия)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Срок проведения экспертно-аналитического мероприятия с «___</w:t>
      </w:r>
      <w:r w:rsidR="00DA488C">
        <w:rPr>
          <w:sz w:val="26"/>
          <w:szCs w:val="26"/>
        </w:rPr>
        <w:t>_» _</w:t>
      </w:r>
      <w:r>
        <w:rPr>
          <w:sz w:val="26"/>
          <w:szCs w:val="26"/>
        </w:rPr>
        <w:t xml:space="preserve">_______20__года </w:t>
      </w:r>
      <w:r w:rsidR="00DA488C">
        <w:rPr>
          <w:sz w:val="26"/>
          <w:szCs w:val="26"/>
        </w:rPr>
        <w:t>по «</w:t>
      </w:r>
      <w:r>
        <w:rPr>
          <w:sz w:val="26"/>
          <w:szCs w:val="26"/>
        </w:rPr>
        <w:t>__</w:t>
      </w:r>
      <w:r w:rsidR="00DA488C">
        <w:rPr>
          <w:sz w:val="26"/>
          <w:szCs w:val="26"/>
        </w:rPr>
        <w:t>_» _</w:t>
      </w:r>
      <w:r>
        <w:rPr>
          <w:sz w:val="26"/>
          <w:szCs w:val="26"/>
        </w:rPr>
        <w:t>__________20___года.</w:t>
      </w:r>
    </w:p>
    <w:p w:rsidR="00DA488C" w:rsidRDefault="00DA488C" w:rsidP="00174207">
      <w:pPr>
        <w:ind w:right="-1"/>
        <w:rPr>
          <w:sz w:val="26"/>
          <w:szCs w:val="26"/>
        </w:rPr>
      </w:pP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В соответствии с_____________________________________________________</w:t>
      </w:r>
      <w:r w:rsidR="00DA488C">
        <w:rPr>
          <w:sz w:val="26"/>
          <w:szCs w:val="26"/>
        </w:rPr>
        <w:t>______</w:t>
      </w:r>
    </w:p>
    <w:p w:rsidR="00174207" w:rsidRDefault="00174207" w:rsidP="00174207">
      <w:pPr>
        <w:ind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74207" w:rsidRDefault="00174207" w:rsidP="00174207">
      <w:pPr>
        <w:ind w:right="-1"/>
        <w:jc w:val="center"/>
        <w:rPr>
          <w:snapToGrid w:val="0"/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(статья </w:t>
      </w:r>
      <w:r>
        <w:rPr>
          <w:snapToGrid w:val="0"/>
          <w:sz w:val="26"/>
          <w:szCs w:val="26"/>
          <w:vertAlign w:val="superscript"/>
        </w:rPr>
        <w:t>Положения о Счётной палате)</w:t>
      </w:r>
    </w:p>
    <w:p w:rsidR="00174207" w:rsidRDefault="00174207" w:rsidP="00DF148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обеспечить необходимые условия для работы сотрудников и подготовить необходимые для проверки материалы. </w:t>
      </w:r>
    </w:p>
    <w:p w:rsidR="00DA488C" w:rsidRDefault="00DA488C" w:rsidP="00174207">
      <w:pPr>
        <w:ind w:right="-1"/>
        <w:rPr>
          <w:sz w:val="26"/>
          <w:szCs w:val="26"/>
        </w:rPr>
      </w:pPr>
    </w:p>
    <w:tbl>
      <w:tblPr>
        <w:tblW w:w="9470" w:type="dxa"/>
        <w:tblInd w:w="2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814"/>
        <w:gridCol w:w="344"/>
        <w:gridCol w:w="7312"/>
      </w:tblGrid>
      <w:tr w:rsidR="00174207" w:rsidTr="00DA488C">
        <w:trPr>
          <w:cantSplit/>
        </w:trPr>
        <w:tc>
          <w:tcPr>
            <w:tcW w:w="1814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Приложения:</w:t>
            </w:r>
          </w:p>
        </w:tc>
        <w:tc>
          <w:tcPr>
            <w:tcW w:w="344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312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Программа проведения контрольного мероприятия </w:t>
            </w:r>
          </w:p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(копия) на ___ л. в 1 экз.</w:t>
            </w:r>
          </w:p>
        </w:tc>
      </w:tr>
      <w:tr w:rsidR="00174207" w:rsidTr="00DA488C">
        <w:trPr>
          <w:cantSplit/>
        </w:trPr>
        <w:tc>
          <w:tcPr>
            <w:tcW w:w="1814" w:type="dxa"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4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312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Перечень документов и вопросов на ____ л. в 1 экз.</w:t>
            </w:r>
          </w:p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(в случае необходимости).</w:t>
            </w:r>
          </w:p>
        </w:tc>
      </w:tr>
      <w:tr w:rsidR="00174207" w:rsidTr="00DA488C">
        <w:trPr>
          <w:cantSplit/>
        </w:trPr>
        <w:tc>
          <w:tcPr>
            <w:tcW w:w="1814" w:type="dxa"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4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312" w:type="dxa"/>
            <w:hideMark/>
          </w:tcPr>
          <w:p w:rsidR="00174207" w:rsidRDefault="00174207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Формы на ___ л. в 1 экз. (в случае необходимости).</w:t>
            </w:r>
          </w:p>
        </w:tc>
      </w:tr>
    </w:tbl>
    <w:p w:rsidR="00174207" w:rsidRDefault="00174207" w:rsidP="00174207">
      <w:pPr>
        <w:ind w:left="284" w:right="-1"/>
        <w:rPr>
          <w:sz w:val="26"/>
          <w:szCs w:val="26"/>
        </w:rPr>
      </w:pPr>
    </w:p>
    <w:p w:rsidR="00174207" w:rsidRDefault="00174207" w:rsidP="00174207">
      <w:pPr>
        <w:ind w:left="284" w:right="-1"/>
        <w:rPr>
          <w:sz w:val="26"/>
          <w:szCs w:val="26"/>
        </w:rPr>
      </w:pPr>
    </w:p>
    <w:p w:rsidR="00A41886" w:rsidRDefault="00A41886" w:rsidP="00174207">
      <w:pPr>
        <w:ind w:left="284" w:right="-1"/>
        <w:rPr>
          <w:sz w:val="26"/>
          <w:szCs w:val="26"/>
        </w:rPr>
      </w:pPr>
    </w:p>
    <w:p w:rsidR="00174207" w:rsidRDefault="00174207" w:rsidP="00DA488C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Должность                                       личная подпись      </w:t>
      </w:r>
      <w:r w:rsidR="00DA488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инициалы и фамилия</w:t>
      </w:r>
    </w:p>
    <w:p w:rsidR="00174207" w:rsidRDefault="00174207" w:rsidP="00174207"/>
    <w:p w:rsidR="00A07082" w:rsidRDefault="00A07082" w:rsidP="00174207">
      <w:pPr>
        <w:spacing w:line="360" w:lineRule="auto"/>
        <w:ind w:firstLine="720"/>
        <w:jc w:val="center"/>
        <w:rPr>
          <w:sz w:val="26"/>
          <w:szCs w:val="26"/>
        </w:rPr>
      </w:pPr>
    </w:p>
    <w:sectPr w:rsidR="00A07082" w:rsidSect="00174207">
      <w:headerReference w:type="even" r:id="rId9"/>
      <w:headerReference w:type="default" r:id="rId10"/>
      <w:pgSz w:w="11907" w:h="16840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A2" w:rsidRDefault="00B95AA2" w:rsidP="00E6314B">
      <w:r>
        <w:separator/>
      </w:r>
    </w:p>
  </w:endnote>
  <w:endnote w:type="continuationSeparator" w:id="0">
    <w:p w:rsidR="00B95AA2" w:rsidRDefault="00B95AA2" w:rsidP="00E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A2" w:rsidRDefault="00B95AA2" w:rsidP="00E6314B">
      <w:r>
        <w:separator/>
      </w:r>
    </w:p>
  </w:footnote>
  <w:footnote w:type="continuationSeparator" w:id="0">
    <w:p w:rsidR="00B95AA2" w:rsidRDefault="00B95AA2" w:rsidP="00E6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49" w:rsidRDefault="00AA0749" w:rsidP="00A72B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AA0749" w:rsidRDefault="00AA074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49" w:rsidRDefault="00AA0749" w:rsidP="00A72B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52F6">
      <w:rPr>
        <w:rStyle w:val="a6"/>
        <w:noProof/>
      </w:rPr>
      <w:t>11</w:t>
    </w:r>
    <w:r>
      <w:rPr>
        <w:rStyle w:val="a6"/>
      </w:rPr>
      <w:fldChar w:fldCharType="end"/>
    </w:r>
  </w:p>
  <w:p w:rsidR="00AA0749" w:rsidRDefault="00AA07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942FFF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5FA5E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A20556"/>
    <w:multiLevelType w:val="hybridMultilevel"/>
    <w:tmpl w:val="1DC8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1FA"/>
    <w:multiLevelType w:val="hybridMultilevel"/>
    <w:tmpl w:val="88FEF5EA"/>
    <w:lvl w:ilvl="0" w:tplc="1CA8994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A1B86"/>
    <w:multiLevelType w:val="hybridMultilevel"/>
    <w:tmpl w:val="4DD41320"/>
    <w:lvl w:ilvl="0" w:tplc="239A337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3C1FF0"/>
    <w:multiLevelType w:val="hybridMultilevel"/>
    <w:tmpl w:val="DA3016D4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1402E"/>
    <w:multiLevelType w:val="hybridMultilevel"/>
    <w:tmpl w:val="BEAED442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BB4583"/>
    <w:multiLevelType w:val="hybridMultilevel"/>
    <w:tmpl w:val="EEF24C40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5569C"/>
    <w:multiLevelType w:val="hybridMultilevel"/>
    <w:tmpl w:val="D10AF64C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30EE3"/>
    <w:multiLevelType w:val="hybridMultilevel"/>
    <w:tmpl w:val="AACAA9E8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056EF9"/>
    <w:multiLevelType w:val="hybridMultilevel"/>
    <w:tmpl w:val="10061E0A"/>
    <w:lvl w:ilvl="0" w:tplc="1CA899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A323E"/>
    <w:multiLevelType w:val="hybridMultilevel"/>
    <w:tmpl w:val="5EE043F8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40817"/>
    <w:multiLevelType w:val="hybridMultilevel"/>
    <w:tmpl w:val="8000FED2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3404E6"/>
    <w:multiLevelType w:val="multilevel"/>
    <w:tmpl w:val="1AE64D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68D7415E"/>
    <w:multiLevelType w:val="hybridMultilevel"/>
    <w:tmpl w:val="D57A3714"/>
    <w:lvl w:ilvl="0" w:tplc="239A337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8F7869"/>
    <w:multiLevelType w:val="hybridMultilevel"/>
    <w:tmpl w:val="43C4300A"/>
    <w:lvl w:ilvl="0" w:tplc="1CA89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0"/>
        <w:kern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5"/>
  </w:num>
  <w:num w:numId="15">
    <w:abstractNumId w:val="6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E"/>
    <w:rsid w:val="0000051D"/>
    <w:rsid w:val="0001229D"/>
    <w:rsid w:val="00025A3E"/>
    <w:rsid w:val="00025A97"/>
    <w:rsid w:val="00037B09"/>
    <w:rsid w:val="000664A3"/>
    <w:rsid w:val="0009403D"/>
    <w:rsid w:val="00103186"/>
    <w:rsid w:val="00103B51"/>
    <w:rsid w:val="00113C47"/>
    <w:rsid w:val="00114886"/>
    <w:rsid w:val="00120B81"/>
    <w:rsid w:val="001210BA"/>
    <w:rsid w:val="00123506"/>
    <w:rsid w:val="00127711"/>
    <w:rsid w:val="00137F3C"/>
    <w:rsid w:val="001517BD"/>
    <w:rsid w:val="00160083"/>
    <w:rsid w:val="00160F1A"/>
    <w:rsid w:val="00174207"/>
    <w:rsid w:val="00175011"/>
    <w:rsid w:val="00184996"/>
    <w:rsid w:val="001A48B1"/>
    <w:rsid w:val="001D0A20"/>
    <w:rsid w:val="001D45A4"/>
    <w:rsid w:val="001E3BA3"/>
    <w:rsid w:val="001F0F2F"/>
    <w:rsid w:val="001F703C"/>
    <w:rsid w:val="002011D8"/>
    <w:rsid w:val="002016A9"/>
    <w:rsid w:val="00203D08"/>
    <w:rsid w:val="002065F0"/>
    <w:rsid w:val="00216986"/>
    <w:rsid w:val="00217B86"/>
    <w:rsid w:val="002205B0"/>
    <w:rsid w:val="00232E1B"/>
    <w:rsid w:val="00273699"/>
    <w:rsid w:val="002771B9"/>
    <w:rsid w:val="002951F0"/>
    <w:rsid w:val="002A0768"/>
    <w:rsid w:val="002B2147"/>
    <w:rsid w:val="002C257F"/>
    <w:rsid w:val="002C52F6"/>
    <w:rsid w:val="002E6916"/>
    <w:rsid w:val="0030731E"/>
    <w:rsid w:val="00322A2D"/>
    <w:rsid w:val="003376AC"/>
    <w:rsid w:val="00342732"/>
    <w:rsid w:val="0034506E"/>
    <w:rsid w:val="00355651"/>
    <w:rsid w:val="00360C82"/>
    <w:rsid w:val="00360FFF"/>
    <w:rsid w:val="00373CF9"/>
    <w:rsid w:val="00374338"/>
    <w:rsid w:val="003924BE"/>
    <w:rsid w:val="003A3BF0"/>
    <w:rsid w:val="003A541F"/>
    <w:rsid w:val="003C0D49"/>
    <w:rsid w:val="003E5EBA"/>
    <w:rsid w:val="003F29CF"/>
    <w:rsid w:val="00402322"/>
    <w:rsid w:val="004038C4"/>
    <w:rsid w:val="00414B34"/>
    <w:rsid w:val="00421BA4"/>
    <w:rsid w:val="00422395"/>
    <w:rsid w:val="004537B8"/>
    <w:rsid w:val="00462346"/>
    <w:rsid w:val="00467D24"/>
    <w:rsid w:val="004851E8"/>
    <w:rsid w:val="00486BFC"/>
    <w:rsid w:val="004909B5"/>
    <w:rsid w:val="004A45D5"/>
    <w:rsid w:val="004D0F41"/>
    <w:rsid w:val="004E7816"/>
    <w:rsid w:val="005150C7"/>
    <w:rsid w:val="00560400"/>
    <w:rsid w:val="00570D57"/>
    <w:rsid w:val="00571DD2"/>
    <w:rsid w:val="005749BC"/>
    <w:rsid w:val="005907C2"/>
    <w:rsid w:val="005B255A"/>
    <w:rsid w:val="005B6193"/>
    <w:rsid w:val="005C19A2"/>
    <w:rsid w:val="005D00B3"/>
    <w:rsid w:val="005F288A"/>
    <w:rsid w:val="00600FD6"/>
    <w:rsid w:val="006042B1"/>
    <w:rsid w:val="00605AD0"/>
    <w:rsid w:val="0063017B"/>
    <w:rsid w:val="00635BF2"/>
    <w:rsid w:val="00643269"/>
    <w:rsid w:val="00653660"/>
    <w:rsid w:val="006714CC"/>
    <w:rsid w:val="00686961"/>
    <w:rsid w:val="006A4A35"/>
    <w:rsid w:val="006A69FC"/>
    <w:rsid w:val="006D3601"/>
    <w:rsid w:val="006E7D54"/>
    <w:rsid w:val="00712F8B"/>
    <w:rsid w:val="00735BF5"/>
    <w:rsid w:val="00741DA2"/>
    <w:rsid w:val="00742146"/>
    <w:rsid w:val="0074330F"/>
    <w:rsid w:val="007467DE"/>
    <w:rsid w:val="007739C0"/>
    <w:rsid w:val="00787AA3"/>
    <w:rsid w:val="007A3CCE"/>
    <w:rsid w:val="007D2BF7"/>
    <w:rsid w:val="008066A9"/>
    <w:rsid w:val="00821321"/>
    <w:rsid w:val="00823792"/>
    <w:rsid w:val="00843C39"/>
    <w:rsid w:val="00850C11"/>
    <w:rsid w:val="0085210B"/>
    <w:rsid w:val="008611DD"/>
    <w:rsid w:val="00861934"/>
    <w:rsid w:val="00873036"/>
    <w:rsid w:val="00884052"/>
    <w:rsid w:val="008A163A"/>
    <w:rsid w:val="008A6392"/>
    <w:rsid w:val="008A6CCD"/>
    <w:rsid w:val="008B050F"/>
    <w:rsid w:val="008B7B80"/>
    <w:rsid w:val="008E30CA"/>
    <w:rsid w:val="008E781E"/>
    <w:rsid w:val="009019E1"/>
    <w:rsid w:val="00907349"/>
    <w:rsid w:val="00914995"/>
    <w:rsid w:val="00924317"/>
    <w:rsid w:val="00924D4A"/>
    <w:rsid w:val="009404E8"/>
    <w:rsid w:val="00964D3B"/>
    <w:rsid w:val="009674FD"/>
    <w:rsid w:val="00980FB5"/>
    <w:rsid w:val="009818B8"/>
    <w:rsid w:val="009840A8"/>
    <w:rsid w:val="00992117"/>
    <w:rsid w:val="00994953"/>
    <w:rsid w:val="009A7489"/>
    <w:rsid w:val="009B154B"/>
    <w:rsid w:val="009F5F49"/>
    <w:rsid w:val="00A0103C"/>
    <w:rsid w:val="00A07082"/>
    <w:rsid w:val="00A12922"/>
    <w:rsid w:val="00A13DB2"/>
    <w:rsid w:val="00A178B6"/>
    <w:rsid w:val="00A36208"/>
    <w:rsid w:val="00A41886"/>
    <w:rsid w:val="00A42F7D"/>
    <w:rsid w:val="00A52173"/>
    <w:rsid w:val="00A647A3"/>
    <w:rsid w:val="00A72BAF"/>
    <w:rsid w:val="00A90750"/>
    <w:rsid w:val="00AA0749"/>
    <w:rsid w:val="00AA0CD6"/>
    <w:rsid w:val="00AB0EE3"/>
    <w:rsid w:val="00AD1473"/>
    <w:rsid w:val="00AE4375"/>
    <w:rsid w:val="00B056CF"/>
    <w:rsid w:val="00B06258"/>
    <w:rsid w:val="00B30E0A"/>
    <w:rsid w:val="00B34BFB"/>
    <w:rsid w:val="00B4036A"/>
    <w:rsid w:val="00B62357"/>
    <w:rsid w:val="00B6486A"/>
    <w:rsid w:val="00B67D35"/>
    <w:rsid w:val="00B7248F"/>
    <w:rsid w:val="00B8799E"/>
    <w:rsid w:val="00B95AA2"/>
    <w:rsid w:val="00B97B96"/>
    <w:rsid w:val="00BA11FE"/>
    <w:rsid w:val="00BA4ED1"/>
    <w:rsid w:val="00BB7A6E"/>
    <w:rsid w:val="00BC0905"/>
    <w:rsid w:val="00BC3C40"/>
    <w:rsid w:val="00C044EF"/>
    <w:rsid w:val="00C134E6"/>
    <w:rsid w:val="00C307E4"/>
    <w:rsid w:val="00C54C52"/>
    <w:rsid w:val="00C860AD"/>
    <w:rsid w:val="00C90CDB"/>
    <w:rsid w:val="00CD2D44"/>
    <w:rsid w:val="00CE6FA7"/>
    <w:rsid w:val="00D145A8"/>
    <w:rsid w:val="00D1509C"/>
    <w:rsid w:val="00D228AE"/>
    <w:rsid w:val="00D26EB6"/>
    <w:rsid w:val="00D5514E"/>
    <w:rsid w:val="00D66F66"/>
    <w:rsid w:val="00DA0DD2"/>
    <w:rsid w:val="00DA1BE2"/>
    <w:rsid w:val="00DA488C"/>
    <w:rsid w:val="00DC4C8A"/>
    <w:rsid w:val="00DC4E24"/>
    <w:rsid w:val="00DD17DF"/>
    <w:rsid w:val="00DE7463"/>
    <w:rsid w:val="00DF1486"/>
    <w:rsid w:val="00DF54B4"/>
    <w:rsid w:val="00E04FFA"/>
    <w:rsid w:val="00E07942"/>
    <w:rsid w:val="00E15123"/>
    <w:rsid w:val="00E179A4"/>
    <w:rsid w:val="00E22F4A"/>
    <w:rsid w:val="00E252C8"/>
    <w:rsid w:val="00E277CD"/>
    <w:rsid w:val="00E52D07"/>
    <w:rsid w:val="00E52D43"/>
    <w:rsid w:val="00E6314B"/>
    <w:rsid w:val="00E67E0C"/>
    <w:rsid w:val="00E77DBB"/>
    <w:rsid w:val="00E84EEB"/>
    <w:rsid w:val="00E94434"/>
    <w:rsid w:val="00E95988"/>
    <w:rsid w:val="00EA3844"/>
    <w:rsid w:val="00EA4FD5"/>
    <w:rsid w:val="00EC039B"/>
    <w:rsid w:val="00EE5E12"/>
    <w:rsid w:val="00EF0ECC"/>
    <w:rsid w:val="00EF3149"/>
    <w:rsid w:val="00F002C2"/>
    <w:rsid w:val="00F01F9B"/>
    <w:rsid w:val="00F04042"/>
    <w:rsid w:val="00F11076"/>
    <w:rsid w:val="00F1797A"/>
    <w:rsid w:val="00F435F6"/>
    <w:rsid w:val="00F66757"/>
    <w:rsid w:val="00F66B90"/>
    <w:rsid w:val="00F82ADE"/>
    <w:rsid w:val="00F953A1"/>
    <w:rsid w:val="00FC72A8"/>
    <w:rsid w:val="00FC76E2"/>
    <w:rsid w:val="00FE0596"/>
    <w:rsid w:val="00FE1D72"/>
    <w:rsid w:val="00FF2B8F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5E83-006B-4A37-8711-821C05E7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4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5514E"/>
    <w:pPr>
      <w:keepNext/>
      <w:jc w:val="right"/>
      <w:outlineLvl w:val="0"/>
    </w:pPr>
    <w:rPr>
      <w:b/>
      <w:color w:val="000000"/>
      <w:sz w:val="28"/>
    </w:rPr>
  </w:style>
  <w:style w:type="paragraph" w:styleId="20">
    <w:name w:val="heading 2"/>
    <w:basedOn w:val="a"/>
    <w:next w:val="a"/>
    <w:link w:val="21"/>
    <w:qFormat/>
    <w:rsid w:val="00D5514E"/>
    <w:pPr>
      <w:keepNext/>
      <w:jc w:val="center"/>
      <w:outlineLvl w:val="1"/>
    </w:pPr>
    <w:rPr>
      <w:b/>
      <w:color w:val="000000"/>
      <w:sz w:val="28"/>
    </w:rPr>
  </w:style>
  <w:style w:type="paragraph" w:styleId="30">
    <w:name w:val="heading 3"/>
    <w:basedOn w:val="a"/>
    <w:next w:val="a"/>
    <w:link w:val="31"/>
    <w:qFormat/>
    <w:rsid w:val="00D5514E"/>
    <w:pPr>
      <w:keepNext/>
      <w:jc w:val="right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rsid w:val="00D5514E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D5514E"/>
    <w:pPr>
      <w:keepNext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qFormat/>
    <w:rsid w:val="00D5514E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D5514E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D5514E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5514E"/>
    <w:pPr>
      <w:keepNext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val="x-none" w:eastAsia="ru-RU"/>
    </w:rPr>
  </w:style>
  <w:style w:type="character" w:customStyle="1" w:styleId="21">
    <w:name w:val="Заголовок 2 Знак"/>
    <w:link w:val="20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val="x-none" w:eastAsia="ru-RU"/>
    </w:rPr>
  </w:style>
  <w:style w:type="character" w:customStyle="1" w:styleId="31">
    <w:name w:val="Заголовок 3 Знак"/>
    <w:link w:val="30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D5514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D5514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D5514E"/>
    <w:rPr>
      <w:rFonts w:ascii="Arial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locked/>
    <w:rsid w:val="00D5514E"/>
    <w:rPr>
      <w:rFonts w:ascii="Arial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D5514E"/>
    <w:rPr>
      <w:rFonts w:ascii="Times New Roman" w:hAnsi="Times New Roman" w:cs="Times New Roman"/>
      <w:b/>
      <w:snapToGrid w:val="0"/>
      <w:sz w:val="20"/>
      <w:szCs w:val="20"/>
      <w:lang w:val="x-none" w:eastAsia="ru-RU"/>
    </w:rPr>
  </w:style>
  <w:style w:type="paragraph" w:styleId="a3">
    <w:name w:val="Block Text"/>
    <w:basedOn w:val="a"/>
    <w:rsid w:val="00D5514E"/>
    <w:pPr>
      <w:ind w:left="97" w:right="97" w:firstLine="97"/>
      <w:jc w:val="both"/>
    </w:pPr>
    <w:rPr>
      <w:i/>
      <w:color w:val="000000"/>
      <w:sz w:val="22"/>
    </w:rPr>
  </w:style>
  <w:style w:type="paragraph" w:styleId="a4">
    <w:name w:val="header"/>
    <w:basedOn w:val="a"/>
    <w:link w:val="a5"/>
    <w:uiPriority w:val="99"/>
    <w:rsid w:val="00D5514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D5514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rsid w:val="00D5514E"/>
    <w:rPr>
      <w:rFonts w:cs="Times New Roman"/>
    </w:rPr>
  </w:style>
  <w:style w:type="paragraph" w:styleId="a7">
    <w:name w:val="Body Text Indent"/>
    <w:basedOn w:val="a"/>
    <w:link w:val="a8"/>
    <w:rsid w:val="00D5514E"/>
    <w:pPr>
      <w:ind w:firstLine="485"/>
      <w:jc w:val="both"/>
    </w:pPr>
    <w:rPr>
      <w:color w:val="000000"/>
      <w:sz w:val="28"/>
    </w:rPr>
  </w:style>
  <w:style w:type="character" w:customStyle="1" w:styleId="a8">
    <w:name w:val="Основной текст с отступом Знак"/>
    <w:link w:val="a7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22">
    <w:name w:val="Body Text Indent 2"/>
    <w:basedOn w:val="a"/>
    <w:link w:val="23"/>
    <w:rsid w:val="00D5514E"/>
    <w:pPr>
      <w:ind w:firstLine="72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locked/>
    <w:rsid w:val="00D5514E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32">
    <w:name w:val="Body Text Indent 3"/>
    <w:basedOn w:val="a"/>
    <w:link w:val="33"/>
    <w:rsid w:val="00D5514E"/>
    <w:pPr>
      <w:ind w:firstLine="794"/>
      <w:jc w:val="both"/>
    </w:pPr>
    <w:rPr>
      <w:color w:val="000000"/>
      <w:sz w:val="28"/>
    </w:rPr>
  </w:style>
  <w:style w:type="character" w:customStyle="1" w:styleId="33">
    <w:name w:val="Основной текст с отступом 3 Знак"/>
    <w:link w:val="32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a9">
    <w:name w:val="Body Text"/>
    <w:basedOn w:val="a"/>
    <w:link w:val="aa"/>
    <w:rsid w:val="00D5514E"/>
    <w:pPr>
      <w:jc w:val="both"/>
    </w:pPr>
    <w:rPr>
      <w:color w:val="000000"/>
      <w:sz w:val="28"/>
    </w:rPr>
  </w:style>
  <w:style w:type="character" w:customStyle="1" w:styleId="aa">
    <w:name w:val="Основной текст Знак"/>
    <w:link w:val="a9"/>
    <w:locked/>
    <w:rsid w:val="00D5514E"/>
    <w:rPr>
      <w:rFonts w:ascii="Times New Roman" w:hAnsi="Times New Roman" w:cs="Times New Roman"/>
      <w:snapToGrid w:val="0"/>
      <w:color w:val="000000"/>
      <w:sz w:val="20"/>
      <w:szCs w:val="20"/>
      <w:lang w:val="x-none" w:eastAsia="ru-RU"/>
    </w:rPr>
  </w:style>
  <w:style w:type="paragraph" w:styleId="24">
    <w:name w:val="Body Text 2"/>
    <w:basedOn w:val="a"/>
    <w:link w:val="25"/>
    <w:rsid w:val="00D5514E"/>
    <w:pPr>
      <w:jc w:val="center"/>
    </w:pPr>
    <w:rPr>
      <w:b/>
      <w:color w:val="000000"/>
      <w:sz w:val="40"/>
    </w:rPr>
  </w:style>
  <w:style w:type="character" w:customStyle="1" w:styleId="25">
    <w:name w:val="Основной текст 2 Знак"/>
    <w:link w:val="24"/>
    <w:locked/>
    <w:rsid w:val="00D5514E"/>
    <w:rPr>
      <w:rFonts w:ascii="Times New Roman" w:hAnsi="Times New Roman" w:cs="Times New Roman"/>
      <w:b/>
      <w:snapToGrid w:val="0"/>
      <w:color w:val="000000"/>
      <w:sz w:val="20"/>
      <w:szCs w:val="20"/>
      <w:lang w:val="x-none" w:eastAsia="ru-RU"/>
    </w:rPr>
  </w:style>
  <w:style w:type="paragraph" w:styleId="26">
    <w:name w:val="List 2"/>
    <w:basedOn w:val="a"/>
    <w:rsid w:val="00D5514E"/>
    <w:pPr>
      <w:ind w:left="566" w:hanging="283"/>
    </w:pPr>
  </w:style>
  <w:style w:type="paragraph" w:styleId="34">
    <w:name w:val="List 3"/>
    <w:basedOn w:val="a"/>
    <w:rsid w:val="00D5514E"/>
    <w:pPr>
      <w:ind w:left="849" w:hanging="283"/>
    </w:pPr>
  </w:style>
  <w:style w:type="paragraph" w:styleId="41">
    <w:name w:val="List 4"/>
    <w:basedOn w:val="a"/>
    <w:rsid w:val="00D5514E"/>
    <w:pPr>
      <w:ind w:left="1132" w:hanging="283"/>
    </w:pPr>
  </w:style>
  <w:style w:type="paragraph" w:styleId="2">
    <w:name w:val="List Bullet 2"/>
    <w:basedOn w:val="a"/>
    <w:autoRedefine/>
    <w:rsid w:val="00D5514E"/>
    <w:pPr>
      <w:numPr>
        <w:numId w:val="1"/>
      </w:numPr>
    </w:pPr>
  </w:style>
  <w:style w:type="paragraph" w:styleId="3">
    <w:name w:val="List Bullet 3"/>
    <w:basedOn w:val="a"/>
    <w:autoRedefine/>
    <w:rsid w:val="00D5514E"/>
    <w:pPr>
      <w:numPr>
        <w:numId w:val="2"/>
      </w:numPr>
    </w:pPr>
  </w:style>
  <w:style w:type="paragraph" w:styleId="27">
    <w:name w:val="List Continue 2"/>
    <w:basedOn w:val="a"/>
    <w:rsid w:val="00D5514E"/>
    <w:pPr>
      <w:spacing w:after="120"/>
      <w:ind w:left="566"/>
    </w:pPr>
  </w:style>
  <w:style w:type="paragraph" w:styleId="42">
    <w:name w:val="List Continue 4"/>
    <w:basedOn w:val="a"/>
    <w:rsid w:val="00D5514E"/>
    <w:pPr>
      <w:spacing w:after="120"/>
      <w:ind w:left="1132"/>
    </w:pPr>
  </w:style>
  <w:style w:type="paragraph" w:styleId="35">
    <w:name w:val="Body Text 3"/>
    <w:basedOn w:val="a"/>
    <w:link w:val="36"/>
    <w:rsid w:val="00D5514E"/>
    <w:pPr>
      <w:jc w:val="both"/>
    </w:pPr>
    <w:rPr>
      <w:sz w:val="28"/>
    </w:rPr>
  </w:style>
  <w:style w:type="character" w:customStyle="1" w:styleId="36">
    <w:name w:val="Основной текст 3 Знак"/>
    <w:link w:val="35"/>
    <w:locked/>
    <w:rsid w:val="00D5514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çàãîëîâîê 1"/>
    <w:basedOn w:val="a"/>
    <w:next w:val="a"/>
    <w:rsid w:val="00D5514E"/>
    <w:pPr>
      <w:keepNext/>
      <w:ind w:firstLine="709"/>
    </w:pPr>
    <w:rPr>
      <w:sz w:val="28"/>
    </w:rPr>
  </w:style>
  <w:style w:type="character" w:customStyle="1" w:styleId="ab">
    <w:name w:val="Îñíîâíîé øðèôò"/>
    <w:rsid w:val="00D5514E"/>
  </w:style>
  <w:style w:type="paragraph" w:customStyle="1" w:styleId="ac">
    <w:name w:val="Документ"/>
    <w:basedOn w:val="a"/>
    <w:rsid w:val="00D5514E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Спец. заголовок"/>
    <w:basedOn w:val="a"/>
    <w:next w:val="a"/>
    <w:rsid w:val="00D5514E"/>
    <w:pPr>
      <w:ind w:left="709" w:right="680"/>
      <w:jc w:val="both"/>
    </w:pPr>
    <w:rPr>
      <w:b/>
      <w:sz w:val="24"/>
    </w:rPr>
  </w:style>
  <w:style w:type="paragraph" w:styleId="ae">
    <w:name w:val="footer"/>
    <w:basedOn w:val="a"/>
    <w:link w:val="af"/>
    <w:uiPriority w:val="99"/>
    <w:rsid w:val="00D5514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locked/>
    <w:rsid w:val="00D5514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Title"/>
    <w:basedOn w:val="a"/>
    <w:link w:val="af1"/>
    <w:qFormat/>
    <w:rsid w:val="00D5514E"/>
    <w:pPr>
      <w:jc w:val="center"/>
    </w:pPr>
    <w:rPr>
      <w:sz w:val="28"/>
      <w:szCs w:val="24"/>
    </w:rPr>
  </w:style>
  <w:style w:type="character" w:customStyle="1" w:styleId="af1">
    <w:name w:val="Название Знак"/>
    <w:link w:val="af0"/>
    <w:locked/>
    <w:rsid w:val="00D5514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D551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link w:val="af3"/>
    <w:semiHidden/>
    <w:rsid w:val="00D5514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semiHidden/>
    <w:locked/>
    <w:rsid w:val="00D5514E"/>
    <w:rPr>
      <w:rFonts w:ascii="Tahoma" w:hAnsi="Tahoma" w:cs="Tahoma"/>
      <w:sz w:val="16"/>
      <w:szCs w:val="16"/>
      <w:lang w:val="x-none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5514E"/>
    <w:rPr>
      <w:rFonts w:ascii="Verdana" w:hAnsi="Verdana" w:cs="Verdana"/>
      <w:lang w:val="en-US" w:eastAsia="en-US"/>
    </w:rPr>
  </w:style>
  <w:style w:type="paragraph" w:customStyle="1" w:styleId="Normal1">
    <w:name w:val="Normal1"/>
    <w:rsid w:val="00D5514E"/>
    <w:pPr>
      <w:widowControl w:val="0"/>
    </w:pPr>
    <w:rPr>
      <w:rFonts w:ascii="Courier New" w:hAnsi="Courier New"/>
    </w:rPr>
  </w:style>
  <w:style w:type="paragraph" w:customStyle="1" w:styleId="af4">
    <w:name w:val="подпись"/>
    <w:basedOn w:val="a"/>
    <w:rsid w:val="00A07082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 w:val="28"/>
      <w:szCs w:val="28"/>
    </w:rPr>
  </w:style>
  <w:style w:type="paragraph" w:customStyle="1" w:styleId="12">
    <w:name w:val="Должность1"/>
    <w:basedOn w:val="a"/>
    <w:rsid w:val="00A0708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f5">
    <w:name w:val="На номер"/>
    <w:basedOn w:val="a"/>
    <w:rsid w:val="00A0708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af6">
    <w:name w:val="адрес"/>
    <w:basedOn w:val="a"/>
    <w:rsid w:val="00A07082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28"/>
      <w:szCs w:val="28"/>
    </w:rPr>
  </w:style>
  <w:style w:type="paragraph" w:customStyle="1" w:styleId="af7">
    <w:name w:val="уважаемый"/>
    <w:basedOn w:val="a"/>
    <w:rsid w:val="00A0708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eastAsia="Times New Roman"/>
      <w:sz w:val="28"/>
      <w:szCs w:val="28"/>
    </w:rPr>
  </w:style>
  <w:style w:type="paragraph" w:customStyle="1" w:styleId="af8">
    <w:name w:val="исполнитель"/>
    <w:basedOn w:val="a"/>
    <w:rsid w:val="00A0708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A0708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9">
    <w:name w:val="Основной текст_"/>
    <w:basedOn w:val="a0"/>
    <w:link w:val="13"/>
    <w:rsid w:val="00850C11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9"/>
    <w:rsid w:val="00850C11"/>
    <w:pPr>
      <w:widowControl w:val="0"/>
      <w:shd w:val="clear" w:color="auto" w:fill="FFFFFF"/>
      <w:ind w:firstLine="400"/>
    </w:pPr>
    <w:rPr>
      <w:rFonts w:eastAsia="Times New Roman"/>
    </w:rPr>
  </w:style>
  <w:style w:type="paragraph" w:styleId="afa">
    <w:name w:val="List Paragraph"/>
    <w:basedOn w:val="a"/>
    <w:uiPriority w:val="34"/>
    <w:qFormat/>
    <w:rsid w:val="00BC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34C7-6DAE-4608-A95E-ADF3A698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11</Pages>
  <Words>2113</Words>
  <Characters>19685</Characters>
  <Application>Microsoft Office Word</Application>
  <DocSecurity>0</DocSecurity>
  <Lines>164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/>
  <LinksUpToDate>false</LinksUpToDate>
  <CharactersWithSpaces>21755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veronika</dc:creator>
  <cp:keywords/>
  <dc:description/>
  <cp:lastModifiedBy>User</cp:lastModifiedBy>
  <cp:revision>57</cp:revision>
  <cp:lastPrinted>2022-02-09T04:08:00Z</cp:lastPrinted>
  <dcterms:created xsi:type="dcterms:W3CDTF">2019-07-23T09:30:00Z</dcterms:created>
  <dcterms:modified xsi:type="dcterms:W3CDTF">2022-09-19T10:44:00Z</dcterms:modified>
</cp:coreProperties>
</file>