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Pr="00C359CC" w:rsidRDefault="000738EF" w:rsidP="00B76994">
      <w:pPr>
        <w:widowControl w:val="0"/>
        <w:jc w:val="center"/>
        <w:rPr>
          <w:sz w:val="28"/>
          <w:szCs w:val="28"/>
        </w:rPr>
      </w:pPr>
      <w:r w:rsidRPr="00C359CC">
        <w:rPr>
          <w:sz w:val="28"/>
          <w:szCs w:val="28"/>
        </w:rPr>
        <w:t xml:space="preserve">О реализации национального проекта «Образование» </w:t>
      </w:r>
      <w:r w:rsidR="0009035E" w:rsidRPr="00C359CC">
        <w:rPr>
          <w:sz w:val="28"/>
          <w:szCs w:val="28"/>
        </w:rPr>
        <w:t>на 01.10</w:t>
      </w:r>
      <w:r w:rsidR="00270890" w:rsidRPr="00C359CC">
        <w:rPr>
          <w:sz w:val="28"/>
          <w:szCs w:val="28"/>
        </w:rPr>
        <w:t>.</w:t>
      </w:r>
      <w:r w:rsidRPr="00C359CC">
        <w:rPr>
          <w:sz w:val="28"/>
          <w:szCs w:val="28"/>
        </w:rPr>
        <w:t>202</w:t>
      </w:r>
      <w:r w:rsidR="00270890" w:rsidRPr="00C359CC">
        <w:rPr>
          <w:sz w:val="28"/>
          <w:szCs w:val="28"/>
        </w:rPr>
        <w:t>2</w:t>
      </w:r>
    </w:p>
    <w:p w:rsidR="005320BE" w:rsidRPr="00C359CC" w:rsidRDefault="005320BE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Pr="00C359CC" w:rsidRDefault="000738EF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359CC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рег</w:t>
      </w:r>
      <w:r w:rsidR="00383AC1" w:rsidRPr="00C359CC">
        <w:rPr>
          <w:rFonts w:eastAsia="Calibri"/>
          <w:sz w:val="28"/>
          <w:szCs w:val="28"/>
          <w:lang w:eastAsia="en-US"/>
        </w:rPr>
        <w:t>иональной</w:t>
      </w:r>
      <w:r w:rsidRPr="00C359CC">
        <w:rPr>
          <w:rFonts w:eastAsia="Calibri"/>
          <w:sz w:val="28"/>
          <w:szCs w:val="28"/>
          <w:lang w:eastAsia="en-US"/>
        </w:rPr>
        <w:t xml:space="preserve"> составляющей 7 федеральных проектов (далее - Проекты):</w:t>
      </w:r>
      <w:proofErr w:type="gramEnd"/>
    </w:p>
    <w:p w:rsidR="000738EF" w:rsidRPr="00C359CC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359CC">
        <w:rPr>
          <w:rFonts w:eastAsia="Calibri"/>
          <w:sz w:val="28"/>
          <w:szCs w:val="28"/>
        </w:rPr>
        <w:t>-«Современная школа»;</w:t>
      </w:r>
    </w:p>
    <w:p w:rsidR="000738EF" w:rsidRPr="00C359CC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359CC">
        <w:rPr>
          <w:rFonts w:eastAsia="Calibri"/>
          <w:sz w:val="28"/>
          <w:szCs w:val="28"/>
        </w:rPr>
        <w:t>-«Успех каждого ребёнка»;</w:t>
      </w:r>
    </w:p>
    <w:p w:rsidR="000738EF" w:rsidRPr="00C359CC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359CC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C359CC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359CC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0738EF" w:rsidRPr="00C359CC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359CC">
        <w:rPr>
          <w:rFonts w:eastAsia="Calibri"/>
          <w:sz w:val="28"/>
          <w:szCs w:val="28"/>
        </w:rPr>
        <w:t>-«Социальная активность»;</w:t>
      </w:r>
    </w:p>
    <w:p w:rsidR="000738EF" w:rsidRPr="00C359CC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359CC">
        <w:rPr>
          <w:rFonts w:eastAsia="Calibri"/>
          <w:sz w:val="28"/>
          <w:szCs w:val="28"/>
        </w:rPr>
        <w:t>-«Патриотическое воспитание</w:t>
      </w:r>
      <w:r w:rsidR="00E86353" w:rsidRPr="00C359CC">
        <w:rPr>
          <w:rFonts w:eastAsia="Calibri"/>
          <w:sz w:val="28"/>
          <w:szCs w:val="28"/>
        </w:rPr>
        <w:t xml:space="preserve"> граждан Российской Федерации</w:t>
      </w:r>
      <w:r w:rsidRPr="00C359CC">
        <w:rPr>
          <w:rFonts w:eastAsia="Calibri"/>
          <w:sz w:val="28"/>
          <w:szCs w:val="28"/>
        </w:rPr>
        <w:t>»;</w:t>
      </w:r>
    </w:p>
    <w:p w:rsidR="000738EF" w:rsidRPr="00C359CC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359CC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0C77F2" w:rsidRPr="00C359CC" w:rsidRDefault="000C77F2" w:rsidP="00B76994">
      <w:pPr>
        <w:widowControl w:val="0"/>
        <w:ind w:firstLine="709"/>
        <w:jc w:val="both"/>
        <w:rPr>
          <w:b/>
          <w:sz w:val="28"/>
          <w:szCs w:val="28"/>
        </w:rPr>
      </w:pPr>
    </w:p>
    <w:p w:rsidR="000738EF" w:rsidRPr="00C359CC" w:rsidRDefault="000738EF" w:rsidP="00B76994">
      <w:pPr>
        <w:widowControl w:val="0"/>
        <w:ind w:firstLine="709"/>
        <w:jc w:val="both"/>
        <w:rPr>
          <w:b/>
          <w:sz w:val="28"/>
          <w:szCs w:val="28"/>
        </w:rPr>
      </w:pPr>
      <w:r w:rsidRPr="00C359CC">
        <w:rPr>
          <w:b/>
          <w:sz w:val="28"/>
          <w:szCs w:val="28"/>
        </w:rPr>
        <w:t>Национальный проект «Образование»</w:t>
      </w:r>
    </w:p>
    <w:p w:rsidR="000738EF" w:rsidRPr="00C359CC" w:rsidRDefault="000738EF" w:rsidP="00B76994">
      <w:pPr>
        <w:widowControl w:val="0"/>
        <w:ind w:firstLine="709"/>
        <w:jc w:val="both"/>
        <w:rPr>
          <w:i/>
          <w:sz w:val="28"/>
          <w:szCs w:val="28"/>
        </w:rPr>
      </w:pPr>
      <w:r w:rsidRPr="00C359CC">
        <w:rPr>
          <w:i/>
          <w:sz w:val="28"/>
          <w:szCs w:val="28"/>
        </w:rPr>
        <w:t>Региональный проект «Современная школа»</w:t>
      </w:r>
    </w:p>
    <w:p w:rsidR="00765D16" w:rsidRPr="00C359CC" w:rsidRDefault="00765D16" w:rsidP="00B76994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359CC">
        <w:rPr>
          <w:rFonts w:eastAsia="Calibri"/>
          <w:sz w:val="28"/>
          <w:szCs w:val="28"/>
        </w:rPr>
        <w:t>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проведение мониторинговых процедур всех уровней: м</w:t>
      </w:r>
      <w:r w:rsidRPr="00C359CC">
        <w:rPr>
          <w:color w:val="000000" w:themeColor="text1"/>
          <w:sz w:val="28"/>
          <w:szCs w:val="28"/>
        </w:rPr>
        <w:t>еждународные исследования, всероссийские проверочные работы, региональные и муниципальные диагностические работы</w:t>
      </w:r>
      <w:r w:rsidRPr="00C359CC">
        <w:rPr>
          <w:rFonts w:eastAsia="Calibri"/>
          <w:sz w:val="28"/>
          <w:szCs w:val="28"/>
        </w:rPr>
        <w:t xml:space="preserve">. </w:t>
      </w:r>
      <w:proofErr w:type="gramEnd"/>
    </w:p>
    <w:p w:rsidR="00765D16" w:rsidRPr="003B10F0" w:rsidRDefault="00765D16" w:rsidP="00B76994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359CC">
        <w:rPr>
          <w:rFonts w:eastAsia="Calibri"/>
          <w:sz w:val="28"/>
          <w:szCs w:val="28"/>
        </w:rPr>
        <w:t>Д</w:t>
      </w:r>
      <w:r w:rsidRPr="00C359CC">
        <w:rPr>
          <w:color w:val="000000" w:themeColor="text1"/>
          <w:sz w:val="28"/>
          <w:szCs w:val="28"/>
        </w:rPr>
        <w:t xml:space="preserve">ля выявления овладения учащимися компетенциями, признанными, в том числе, на международном уровне, планируется участие обучающихся общеобразовательных организаций </w:t>
      </w:r>
      <w:proofErr w:type="gramStart"/>
      <w:r w:rsidRPr="00C359CC">
        <w:rPr>
          <w:color w:val="000000" w:themeColor="text1"/>
          <w:sz w:val="28"/>
          <w:szCs w:val="28"/>
        </w:rPr>
        <w:t>в</w:t>
      </w:r>
      <w:proofErr w:type="gramEnd"/>
      <w:r w:rsidRPr="00C359CC">
        <w:rPr>
          <w:color w:val="000000" w:themeColor="text1"/>
          <w:sz w:val="28"/>
          <w:szCs w:val="28"/>
        </w:rPr>
        <w:t>:</w:t>
      </w:r>
    </w:p>
    <w:p w:rsidR="003B10F0" w:rsidRPr="003B10F0" w:rsidRDefault="003B10F0" w:rsidP="003B10F0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B10F0">
        <w:rPr>
          <w:color w:val="000000" w:themeColor="text1"/>
          <w:sz w:val="28"/>
          <w:szCs w:val="28"/>
        </w:rPr>
        <w:t>-региональной оценке по модели «PISA»;</w:t>
      </w:r>
    </w:p>
    <w:p w:rsidR="00765D16" w:rsidRPr="003B10F0" w:rsidRDefault="00765D16" w:rsidP="00B76994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B10F0">
        <w:rPr>
          <w:color w:val="000000" w:themeColor="text1"/>
          <w:sz w:val="28"/>
          <w:szCs w:val="28"/>
        </w:rPr>
        <w:t xml:space="preserve">-всероссийских проверочных </w:t>
      </w:r>
      <w:proofErr w:type="gramStart"/>
      <w:r w:rsidRPr="003B10F0">
        <w:rPr>
          <w:color w:val="000000" w:themeColor="text1"/>
          <w:sz w:val="28"/>
          <w:szCs w:val="28"/>
        </w:rPr>
        <w:t>работах</w:t>
      </w:r>
      <w:proofErr w:type="gramEnd"/>
      <w:r w:rsidRPr="003B10F0">
        <w:rPr>
          <w:color w:val="000000" w:themeColor="text1"/>
          <w:sz w:val="28"/>
          <w:szCs w:val="28"/>
        </w:rPr>
        <w:t xml:space="preserve"> (100% учащихся 4-8 классов, 100% учащихся 11-х классов по предметам, не выбранным для сдачи ГИА); </w:t>
      </w:r>
    </w:p>
    <w:p w:rsidR="00765D16" w:rsidRPr="00C359CC" w:rsidRDefault="00765D16" w:rsidP="00B76994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3B10F0">
        <w:rPr>
          <w:color w:val="000000" w:themeColor="text1"/>
          <w:sz w:val="28"/>
          <w:szCs w:val="28"/>
        </w:rPr>
        <w:t>-</w:t>
      </w:r>
      <w:proofErr w:type="gramStart"/>
      <w:r w:rsidRPr="003B10F0">
        <w:rPr>
          <w:color w:val="000000" w:themeColor="text1"/>
          <w:sz w:val="28"/>
          <w:szCs w:val="28"/>
        </w:rPr>
        <w:t>мониторинге</w:t>
      </w:r>
      <w:proofErr w:type="gramEnd"/>
      <w:r w:rsidRPr="003B10F0">
        <w:rPr>
          <w:color w:val="000000" w:themeColor="text1"/>
          <w:sz w:val="28"/>
          <w:szCs w:val="28"/>
        </w:rPr>
        <w:t xml:space="preserve"> функциональной</w:t>
      </w:r>
      <w:r w:rsidRPr="00C359CC">
        <w:rPr>
          <w:sz w:val="28"/>
          <w:szCs w:val="28"/>
        </w:rPr>
        <w:t xml:space="preserve"> грамотности; </w:t>
      </w:r>
    </w:p>
    <w:p w:rsidR="003A076D" w:rsidRPr="00C359CC" w:rsidRDefault="00765D16" w:rsidP="003A076D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C359CC">
        <w:rPr>
          <w:sz w:val="28"/>
          <w:szCs w:val="28"/>
        </w:rPr>
        <w:t>-репетиционных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«Русский язык», 100% обучающихся 11-х классов, выбравших для сдачи учебный предмет «Математика» (профильный уровень).</w:t>
      </w:r>
      <w:proofErr w:type="gramEnd"/>
    </w:p>
    <w:p w:rsidR="00CF3C59" w:rsidRPr="00C359CC" w:rsidRDefault="003A076D" w:rsidP="003A076D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359CC">
        <w:rPr>
          <w:sz w:val="28"/>
          <w:szCs w:val="28"/>
        </w:rPr>
        <w:t>В 2022 году достижение показателя по отношению среднего балла ЕГЭ в 10% школ с лучшими результатами к среднему баллу в 10% школ с худшими результатами составило 1,2</w:t>
      </w:r>
      <w:r w:rsidR="00436AED" w:rsidRPr="00C359CC">
        <w:rPr>
          <w:sz w:val="28"/>
          <w:szCs w:val="28"/>
        </w:rPr>
        <w:t>8</w:t>
      </w:r>
      <w:r w:rsidRPr="00C359CC">
        <w:rPr>
          <w:sz w:val="28"/>
          <w:szCs w:val="28"/>
        </w:rPr>
        <w:t xml:space="preserve"> ед. (</w:t>
      </w:r>
      <w:r w:rsidR="00436AED" w:rsidRPr="00C359CC">
        <w:rPr>
          <w:sz w:val="28"/>
          <w:szCs w:val="28"/>
        </w:rPr>
        <w:t>план 2022</w:t>
      </w:r>
      <w:r w:rsidRPr="00C359CC">
        <w:rPr>
          <w:sz w:val="28"/>
          <w:szCs w:val="28"/>
        </w:rPr>
        <w:t xml:space="preserve"> г. </w:t>
      </w:r>
      <w:r w:rsidR="00B131B3" w:rsidRPr="00C359CC">
        <w:rPr>
          <w:sz w:val="28"/>
          <w:szCs w:val="28"/>
        </w:rPr>
        <w:t xml:space="preserve">- </w:t>
      </w:r>
      <w:r w:rsidRPr="00C359CC">
        <w:rPr>
          <w:sz w:val="28"/>
          <w:szCs w:val="28"/>
        </w:rPr>
        <w:t>1,</w:t>
      </w:r>
      <w:r w:rsidR="00436AED" w:rsidRPr="00C359CC">
        <w:rPr>
          <w:sz w:val="28"/>
          <w:szCs w:val="28"/>
        </w:rPr>
        <w:t>37</w:t>
      </w:r>
      <w:r w:rsidRPr="00C359CC">
        <w:rPr>
          <w:sz w:val="28"/>
          <w:szCs w:val="28"/>
        </w:rPr>
        <w:t xml:space="preserve"> ед.).</w:t>
      </w:r>
      <w:r w:rsidR="006213B9" w:rsidRPr="00C359CC">
        <w:rPr>
          <w:sz w:val="28"/>
          <w:szCs w:val="28"/>
        </w:rPr>
        <w:t xml:space="preserve"> Для обеспечения указанного</w:t>
      </w:r>
      <w:r w:rsidRPr="00C359CC">
        <w:rPr>
          <w:sz w:val="28"/>
          <w:szCs w:val="28"/>
        </w:rPr>
        <w:t xml:space="preserve"> результат</w:t>
      </w:r>
      <w:r w:rsidR="006213B9" w:rsidRPr="00C359CC">
        <w:rPr>
          <w:sz w:val="28"/>
          <w:szCs w:val="28"/>
        </w:rPr>
        <w:t>а</w:t>
      </w:r>
      <w:r w:rsidRPr="00C359CC">
        <w:rPr>
          <w:sz w:val="28"/>
          <w:szCs w:val="28"/>
        </w:rPr>
        <w:t xml:space="preserve"> п</w:t>
      </w:r>
      <w:r w:rsidR="008077DE" w:rsidRPr="00C359CC">
        <w:rPr>
          <w:sz w:val="28"/>
          <w:szCs w:val="28"/>
        </w:rPr>
        <w:t xml:space="preserve">роведены </w:t>
      </w:r>
      <w:r w:rsidR="00765D16" w:rsidRPr="00C359CC">
        <w:rPr>
          <w:sz w:val="28"/>
          <w:szCs w:val="28"/>
        </w:rPr>
        <w:t>репетиционны</w:t>
      </w:r>
      <w:r w:rsidR="008077DE" w:rsidRPr="00C359CC">
        <w:rPr>
          <w:sz w:val="28"/>
          <w:szCs w:val="28"/>
        </w:rPr>
        <w:t>е</w:t>
      </w:r>
      <w:r w:rsidR="00765D16" w:rsidRPr="00C359CC">
        <w:rPr>
          <w:sz w:val="28"/>
          <w:szCs w:val="28"/>
        </w:rPr>
        <w:t xml:space="preserve"> экзамен</w:t>
      </w:r>
      <w:r w:rsidR="008077DE" w:rsidRPr="00C359CC">
        <w:rPr>
          <w:sz w:val="28"/>
          <w:szCs w:val="28"/>
        </w:rPr>
        <w:t>ы</w:t>
      </w:r>
      <w:r w:rsidR="00765D16" w:rsidRPr="00C359CC">
        <w:rPr>
          <w:sz w:val="28"/>
          <w:szCs w:val="28"/>
        </w:rPr>
        <w:t>, как</w:t>
      </w:r>
      <w:r w:rsidR="00765D16" w:rsidRPr="00C359CC">
        <w:rPr>
          <w:rFonts w:eastAsia="Calibri"/>
          <w:bCs/>
          <w:sz w:val="28"/>
          <w:szCs w:val="28"/>
        </w:rPr>
        <w:t xml:space="preserve"> на базе общеобразовательных организаций,</w:t>
      </w:r>
      <w:bookmarkStart w:id="0" w:name="_GoBack"/>
      <w:bookmarkEnd w:id="0"/>
      <w:r w:rsidR="00765D16" w:rsidRPr="00C359CC">
        <w:rPr>
          <w:rFonts w:eastAsia="Calibri"/>
          <w:bCs/>
          <w:sz w:val="28"/>
          <w:szCs w:val="28"/>
        </w:rPr>
        <w:t xml:space="preserve"> так и с выходом в пункты проведения экзамена, с последующим анализом результатов и принятием на основе </w:t>
      </w:r>
      <w:r w:rsidR="00765D16" w:rsidRPr="00C359CC">
        <w:rPr>
          <w:rFonts w:eastAsia="Calibri"/>
          <w:bCs/>
          <w:sz w:val="28"/>
          <w:szCs w:val="28"/>
        </w:rPr>
        <w:lastRenderedPageBreak/>
        <w:t>проведенного анализа управленческий решений, нацеленных на повышение уровня качества подготовки обучающихся.</w:t>
      </w:r>
      <w:r w:rsidRPr="00C359CC">
        <w:rPr>
          <w:rFonts w:eastAsia="Calibri"/>
          <w:bCs/>
          <w:sz w:val="28"/>
          <w:szCs w:val="28"/>
        </w:rPr>
        <w:t xml:space="preserve"> </w:t>
      </w:r>
    </w:p>
    <w:p w:rsidR="008077DE" w:rsidRPr="00C359CC" w:rsidRDefault="008077DE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bidi="hi-IN"/>
        </w:rPr>
      </w:pPr>
      <w:proofErr w:type="gramStart"/>
      <w:r w:rsidRPr="00C359CC">
        <w:rPr>
          <w:rFonts w:eastAsia="Calibri"/>
          <w:sz w:val="28"/>
          <w:szCs w:val="28"/>
          <w:lang w:bidi="hi-IN"/>
        </w:rPr>
        <w:t>По итог</w:t>
      </w:r>
      <w:r w:rsidR="003A076D" w:rsidRPr="00C359CC">
        <w:rPr>
          <w:rFonts w:eastAsia="Calibri"/>
          <w:sz w:val="28"/>
          <w:szCs w:val="28"/>
          <w:lang w:bidi="hi-IN"/>
        </w:rPr>
        <w:t>ам сдачи ЕГЭ в основной период 9</w:t>
      </w:r>
      <w:r w:rsidRPr="00C359CC">
        <w:rPr>
          <w:rFonts w:eastAsia="Calibri"/>
          <w:sz w:val="28"/>
          <w:szCs w:val="28"/>
          <w:lang w:bidi="hi-IN"/>
        </w:rPr>
        <w:t xml:space="preserve"> выпускников 11-х классов (МБОУ «СОШ № 2 им. А.И.Исаевой», МБОУ «СОШ № 3 </w:t>
      </w:r>
      <w:proofErr w:type="spellStart"/>
      <w:r w:rsidRPr="00C359CC">
        <w:rPr>
          <w:rFonts w:eastAsia="Calibri"/>
          <w:sz w:val="28"/>
          <w:szCs w:val="28"/>
          <w:lang w:bidi="hi-IN"/>
        </w:rPr>
        <w:t>им.А.А.Ивасенко</w:t>
      </w:r>
      <w:proofErr w:type="spellEnd"/>
      <w:r w:rsidRPr="00C359CC">
        <w:rPr>
          <w:rFonts w:eastAsia="Calibri"/>
          <w:sz w:val="28"/>
          <w:szCs w:val="28"/>
          <w:lang w:bidi="hi-IN"/>
        </w:rPr>
        <w:t>», МБОУ «СОШ № 5 «Многопрофильная», МБОУ «СОШ № 8», МБОУ «СОШ № 10», ЧОУ «</w:t>
      </w:r>
      <w:proofErr w:type="spellStart"/>
      <w:r w:rsidRPr="00C359CC">
        <w:rPr>
          <w:rFonts w:eastAsia="Calibri"/>
          <w:sz w:val="28"/>
          <w:szCs w:val="28"/>
          <w:lang w:bidi="hi-IN"/>
        </w:rPr>
        <w:t>Нефтеюганская</w:t>
      </w:r>
      <w:proofErr w:type="spellEnd"/>
      <w:r w:rsidRPr="00C359CC">
        <w:rPr>
          <w:rFonts w:eastAsia="Calibri"/>
          <w:sz w:val="28"/>
          <w:szCs w:val="28"/>
          <w:lang w:bidi="hi-IN"/>
        </w:rPr>
        <w:t xml:space="preserve"> православная гимназия») получили максимальный результат 100 баллов по учебным предметам «химия», «литература», «русский язык», «физика», </w:t>
      </w:r>
      <w:r w:rsidR="003A076D" w:rsidRPr="00C359CC">
        <w:rPr>
          <w:rFonts w:eastAsia="Calibri"/>
          <w:sz w:val="28"/>
          <w:szCs w:val="28"/>
          <w:lang w:bidi="hi-IN"/>
        </w:rPr>
        <w:t xml:space="preserve">«обществознание», </w:t>
      </w:r>
      <w:r w:rsidRPr="00C359CC">
        <w:rPr>
          <w:rFonts w:eastAsia="Calibri"/>
          <w:sz w:val="28"/>
          <w:szCs w:val="28"/>
          <w:lang w:bidi="hi-IN"/>
        </w:rPr>
        <w:t>из них один учащийся МБОУ «СОШ № 5</w:t>
      </w:r>
      <w:proofErr w:type="gramEnd"/>
      <w:r w:rsidRPr="00C359CC">
        <w:rPr>
          <w:rFonts w:eastAsia="Calibri"/>
          <w:sz w:val="28"/>
          <w:szCs w:val="28"/>
          <w:lang w:bidi="hi-IN"/>
        </w:rPr>
        <w:t xml:space="preserve"> «Многопрофильная» - максимальный результат 200 баллов по учебным предметам «русский язык» и «физика».</w:t>
      </w:r>
      <w:r w:rsidR="003A076D" w:rsidRPr="00C359CC">
        <w:rPr>
          <w:rFonts w:eastAsia="Calibri"/>
          <w:sz w:val="28"/>
          <w:szCs w:val="28"/>
          <w:lang w:bidi="hi-IN"/>
        </w:rPr>
        <w:t xml:space="preserve"> </w:t>
      </w:r>
    </w:p>
    <w:p w:rsidR="00D268A1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bCs/>
          <w:sz w:val="28"/>
          <w:szCs w:val="28"/>
          <w:lang w:eastAsia="en-US"/>
        </w:rPr>
        <w:t>Для решения задачи по обновлению содержания и технологий преподавания общеобразовательных программ к 2024 году в 100% школ проведён м</w:t>
      </w:r>
      <w:r w:rsidRPr="00C359CC">
        <w:rPr>
          <w:rFonts w:eastAsia="Calibri"/>
          <w:sz w:val="28"/>
          <w:szCs w:val="28"/>
          <w:lang w:eastAsia="en-US"/>
        </w:rPr>
        <w:t xml:space="preserve">ониторинг по наличию 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для изучения предметной области «Технология», составлен план-график курсов повышения квалификации по о</w:t>
      </w:r>
      <w:r w:rsidRPr="00C359CC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C359CC">
        <w:rPr>
          <w:rFonts w:eastAsia="Calibri"/>
          <w:sz w:val="28"/>
          <w:szCs w:val="28"/>
          <w:lang w:eastAsia="en-US"/>
        </w:rPr>
        <w:t>для педагогических работников.</w:t>
      </w:r>
    </w:p>
    <w:p w:rsidR="00D268A1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 xml:space="preserve">Организована работа по сетевому взаимодействию общеобразовательных организаций  (МБОУ «СОШ № 3 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им</w:t>
      </w:r>
      <w:proofErr w:type="gramStart"/>
      <w:r w:rsidRPr="00C359CC">
        <w:rPr>
          <w:rFonts w:eastAsia="Calibri"/>
          <w:sz w:val="28"/>
          <w:szCs w:val="28"/>
          <w:lang w:eastAsia="en-US"/>
        </w:rPr>
        <w:t>.И</w:t>
      </w:r>
      <w:proofErr w:type="gramEnd"/>
      <w:r w:rsidRPr="00C359CC">
        <w:rPr>
          <w:rFonts w:eastAsia="Calibri"/>
          <w:sz w:val="28"/>
          <w:szCs w:val="28"/>
          <w:lang w:eastAsia="en-US"/>
        </w:rPr>
        <w:t>васенко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А.А.», МБОУ «СОШ № 5 «Многопрофильная», МБОУ «СОШ № 8», МБОУ «СОШ № 9», МБОУ «СОШ № 14») в части освоения предметной области «Химия», «Технология», «Физика», «Биология», «Математика».</w:t>
      </w:r>
    </w:p>
    <w:p w:rsidR="00BB06B4" w:rsidRPr="00C359CC" w:rsidRDefault="00BB06B4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359CC">
        <w:rPr>
          <w:sz w:val="28"/>
          <w:szCs w:val="28"/>
        </w:rPr>
        <w:t xml:space="preserve">Организована работа по введению обновлённых федеральных государственных образовательных стандартов начального общего и основного общего образования с 1 сентября 2022 года (далее – ФГОС НОО </w:t>
      </w:r>
      <w:proofErr w:type="gramStart"/>
      <w:r w:rsidRPr="00C359CC">
        <w:rPr>
          <w:sz w:val="28"/>
          <w:szCs w:val="28"/>
        </w:rPr>
        <w:t>и ООО</w:t>
      </w:r>
      <w:proofErr w:type="gramEnd"/>
      <w:r w:rsidRPr="00C359CC">
        <w:rPr>
          <w:sz w:val="28"/>
          <w:szCs w:val="28"/>
        </w:rPr>
        <w:t xml:space="preserve">). </w:t>
      </w:r>
      <w:proofErr w:type="gramStart"/>
      <w:r w:rsidRPr="00C359CC">
        <w:rPr>
          <w:sz w:val="28"/>
          <w:szCs w:val="28"/>
        </w:rPr>
        <w:t xml:space="preserve">Разработан муниципальный план мероприятий, организованы: региональная апробация примерных рабочих программ НОО и ООО на базе МБОУ «СОШ № 3 им. </w:t>
      </w:r>
      <w:proofErr w:type="spellStart"/>
      <w:r w:rsidRPr="00C359CC">
        <w:rPr>
          <w:sz w:val="28"/>
          <w:szCs w:val="28"/>
        </w:rPr>
        <w:t>А.А.Ивасенко</w:t>
      </w:r>
      <w:proofErr w:type="spellEnd"/>
      <w:r w:rsidRPr="00C359CC">
        <w:rPr>
          <w:sz w:val="28"/>
          <w:szCs w:val="28"/>
        </w:rPr>
        <w:t xml:space="preserve">», повышение квалификации 238 педагогических работников, разрабатывающих и реализующих основные образовательные программы НОО и ООО, представлен опыт успешных практик учителей МБОУ «СОШ №2 </w:t>
      </w:r>
      <w:proofErr w:type="spellStart"/>
      <w:r w:rsidRPr="00C359CC">
        <w:rPr>
          <w:sz w:val="28"/>
          <w:szCs w:val="28"/>
        </w:rPr>
        <w:t>им.А.И.Исаевой</w:t>
      </w:r>
      <w:proofErr w:type="spellEnd"/>
      <w:r w:rsidRPr="00C359CC">
        <w:rPr>
          <w:sz w:val="28"/>
          <w:szCs w:val="28"/>
        </w:rPr>
        <w:t>», МБОУ «Начальная школа № 15», МБОУ «СОКШ №4» по разработке рабочих программ.</w:t>
      </w:r>
      <w:r w:rsidR="003A076D" w:rsidRPr="00C359CC">
        <w:rPr>
          <w:sz w:val="28"/>
          <w:szCs w:val="28"/>
        </w:rPr>
        <w:t xml:space="preserve"> </w:t>
      </w:r>
      <w:proofErr w:type="gramEnd"/>
    </w:p>
    <w:p w:rsidR="00BB06B4" w:rsidRPr="00C359CC" w:rsidRDefault="00BB06B4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C359CC">
        <w:rPr>
          <w:color w:val="000000" w:themeColor="text1"/>
          <w:sz w:val="28"/>
          <w:szCs w:val="28"/>
        </w:rPr>
        <w:t xml:space="preserve">Осуществляется деятельность по формированию функциональной грамотности обучающихся общеобразовательных организаций города, </w:t>
      </w:r>
      <w:r w:rsidRPr="00C359CC">
        <w:rPr>
          <w:sz w:val="28"/>
          <w:szCs w:val="28"/>
        </w:rPr>
        <w:t xml:space="preserve">МБОУ «Начальная школа № 15» МБОУ «Школа развития № 24» определены региональными </w:t>
      </w:r>
      <w:proofErr w:type="spellStart"/>
      <w:r w:rsidRPr="00C359CC">
        <w:rPr>
          <w:sz w:val="28"/>
          <w:szCs w:val="28"/>
        </w:rPr>
        <w:t>стажировочными</w:t>
      </w:r>
      <w:proofErr w:type="spellEnd"/>
      <w:r w:rsidRPr="00C359CC">
        <w:rPr>
          <w:sz w:val="28"/>
          <w:szCs w:val="28"/>
        </w:rPr>
        <w:t xml:space="preserve"> площадками по формированию и оценке функциональной грамотности обучающихся. </w:t>
      </w:r>
    </w:p>
    <w:p w:rsidR="00BB06B4" w:rsidRPr="00C359CC" w:rsidRDefault="00BB06B4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359CC">
        <w:rPr>
          <w:sz w:val="28"/>
          <w:szCs w:val="28"/>
        </w:rPr>
        <w:t xml:space="preserve">По итогам отбора квалифицированных учителей с высоким уровнем методической компетентности 4 педагогических работника их МБОУ «СОКШ № 4» и МБОУ «СОШ № 8» вошли в состав методического актива педагогов автономного округа. Кроме этого, 19 педагогических работников вошли в состав экспертного сообщества ХМАО - </w:t>
      </w:r>
      <w:proofErr w:type="spellStart"/>
      <w:r w:rsidRPr="00C359CC">
        <w:rPr>
          <w:sz w:val="28"/>
          <w:szCs w:val="28"/>
        </w:rPr>
        <w:t>Югры</w:t>
      </w:r>
      <w:proofErr w:type="spellEnd"/>
      <w:r w:rsidRPr="00C359CC">
        <w:rPr>
          <w:sz w:val="28"/>
          <w:szCs w:val="28"/>
        </w:rPr>
        <w:t xml:space="preserve">, члены городских методических объединений учителей русского языка и литературы из МБОУ «СОКШ №4» выступили </w:t>
      </w:r>
      <w:proofErr w:type="spellStart"/>
      <w:r w:rsidRPr="00C359CC">
        <w:rPr>
          <w:sz w:val="28"/>
          <w:szCs w:val="28"/>
        </w:rPr>
        <w:t>тьюторами</w:t>
      </w:r>
      <w:proofErr w:type="spellEnd"/>
      <w:r w:rsidRPr="00C359CC">
        <w:rPr>
          <w:sz w:val="28"/>
          <w:szCs w:val="28"/>
        </w:rPr>
        <w:t xml:space="preserve"> в рамках </w:t>
      </w:r>
      <w:proofErr w:type="gramStart"/>
      <w:r w:rsidRPr="00C359CC">
        <w:rPr>
          <w:sz w:val="28"/>
          <w:szCs w:val="28"/>
        </w:rPr>
        <w:t>реализации курсов повышения квалификации педагогических работников</w:t>
      </w:r>
      <w:proofErr w:type="gramEnd"/>
      <w:r w:rsidRPr="00C359CC">
        <w:rPr>
          <w:sz w:val="28"/>
          <w:szCs w:val="28"/>
        </w:rPr>
        <w:t xml:space="preserve"> </w:t>
      </w:r>
      <w:proofErr w:type="spellStart"/>
      <w:r w:rsidRPr="00C359CC">
        <w:rPr>
          <w:sz w:val="28"/>
          <w:szCs w:val="28"/>
        </w:rPr>
        <w:t>ХМАО-Югры</w:t>
      </w:r>
      <w:proofErr w:type="spellEnd"/>
      <w:r w:rsidRPr="00C359CC">
        <w:rPr>
          <w:sz w:val="28"/>
          <w:szCs w:val="28"/>
        </w:rPr>
        <w:t xml:space="preserve"> «Школа современного учителя, в том числе в области формирования функциональной грамотности обучающихся.</w:t>
      </w:r>
    </w:p>
    <w:p w:rsidR="00D268A1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lastRenderedPageBreak/>
        <w:t xml:space="preserve">10% учащихся общеобразовательных организаций охвачены программами 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C359CC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Pr="00C359CC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D268A1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и молодёжной </w:t>
      </w:r>
      <w:r w:rsidR="00CF3C59" w:rsidRPr="00C359CC">
        <w:rPr>
          <w:rFonts w:eastAsia="Calibri"/>
          <w:sz w:val="28"/>
          <w:szCs w:val="28"/>
          <w:lang w:eastAsia="en-US"/>
        </w:rPr>
        <w:t xml:space="preserve">политики в городе Нефтеюганске» </w:t>
      </w:r>
      <w:r w:rsidRPr="00C359CC">
        <w:rPr>
          <w:rFonts w:eastAsia="Calibri"/>
          <w:sz w:val="28"/>
          <w:szCs w:val="28"/>
          <w:lang w:eastAsia="en-US"/>
        </w:rPr>
        <w:t>осуществляется 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C359CC">
        <w:rPr>
          <w:rFonts w:eastAsia="Calibri"/>
          <w:sz w:val="28"/>
          <w:szCs w:val="28"/>
          <w:lang w:eastAsia="en-US"/>
        </w:rPr>
        <w:t>.Н</w:t>
      </w:r>
      <w:proofErr w:type="gramEnd"/>
      <w:r w:rsidRPr="00C359CC">
        <w:rPr>
          <w:rFonts w:eastAsia="Calibri"/>
          <w:sz w:val="28"/>
          <w:szCs w:val="28"/>
          <w:lang w:eastAsia="en-US"/>
        </w:rPr>
        <w:t>ефтеюганска (общеобразовательная организация с углубленным изучением отдельных предметов с унив</w:t>
      </w:r>
      <w:r w:rsidR="00CF3C59" w:rsidRPr="00C359CC">
        <w:rPr>
          <w:rFonts w:eastAsia="Calibri"/>
          <w:sz w:val="28"/>
          <w:szCs w:val="28"/>
          <w:lang w:eastAsia="en-US"/>
        </w:rPr>
        <w:t xml:space="preserve">ерсальной </w:t>
      </w:r>
      <w:proofErr w:type="spellStart"/>
      <w:r w:rsidR="00CF3C59" w:rsidRPr="00C359CC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="00CF3C59" w:rsidRPr="00C359CC">
        <w:rPr>
          <w:rFonts w:eastAsia="Calibri"/>
          <w:sz w:val="28"/>
          <w:szCs w:val="28"/>
          <w:lang w:eastAsia="en-US"/>
        </w:rPr>
        <w:t xml:space="preserve"> средой)»</w:t>
      </w:r>
      <w:r w:rsidRPr="00C359CC">
        <w:rPr>
          <w:rFonts w:eastAsia="Calibri"/>
          <w:sz w:val="28"/>
          <w:szCs w:val="28"/>
          <w:lang w:eastAsia="en-US"/>
        </w:rPr>
        <w:t>.</w:t>
      </w:r>
    </w:p>
    <w:p w:rsidR="00D268A1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C359CC">
        <w:rPr>
          <w:rFonts w:eastAsia="Calibri"/>
          <w:sz w:val="28"/>
          <w:szCs w:val="28"/>
        </w:rPr>
        <w:t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D268A1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359CC">
        <w:rPr>
          <w:bCs/>
          <w:iCs/>
          <w:sz w:val="28"/>
          <w:szCs w:val="28"/>
        </w:rPr>
        <w:t>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площадок, работают</w:t>
      </w:r>
      <w:r w:rsidR="009A788E" w:rsidRPr="00C359CC">
        <w:rPr>
          <w:bCs/>
          <w:iCs/>
          <w:sz w:val="28"/>
          <w:szCs w:val="28"/>
        </w:rPr>
        <w:t xml:space="preserve">              </w:t>
      </w:r>
      <w:r w:rsidRPr="00C359CC">
        <w:rPr>
          <w:bCs/>
          <w:iCs/>
          <w:sz w:val="28"/>
          <w:szCs w:val="28"/>
        </w:rPr>
        <w:t>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C359CC">
        <w:rPr>
          <w:bCs/>
          <w:iCs/>
          <w:sz w:val="28"/>
          <w:szCs w:val="28"/>
        </w:rPr>
        <w:t xml:space="preserve"> </w:t>
      </w:r>
      <w:proofErr w:type="gramStart"/>
      <w:r w:rsidRPr="00C359CC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</w:t>
      </w:r>
      <w:r w:rsidR="00B131B3" w:rsidRPr="00C359CC">
        <w:rPr>
          <w:bCs/>
          <w:iCs/>
          <w:sz w:val="28"/>
          <w:szCs w:val="28"/>
        </w:rPr>
        <w:t xml:space="preserve">«Сердце отдаю детям», </w:t>
      </w:r>
      <w:r w:rsidRPr="00C359CC">
        <w:rPr>
          <w:bCs/>
          <w:iCs/>
          <w:sz w:val="28"/>
          <w:szCs w:val="28"/>
        </w:rPr>
        <w:t xml:space="preserve">региональном конкурсе «Учитель будущего ХМАО - </w:t>
      </w:r>
      <w:proofErr w:type="spellStart"/>
      <w:r w:rsidRPr="00C359CC">
        <w:rPr>
          <w:bCs/>
          <w:iCs/>
          <w:sz w:val="28"/>
          <w:szCs w:val="28"/>
        </w:rPr>
        <w:t>Югры</w:t>
      </w:r>
      <w:proofErr w:type="spellEnd"/>
      <w:r w:rsidRPr="00C359CC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C359CC">
        <w:rPr>
          <w:bCs/>
          <w:iCs/>
          <w:sz w:val="28"/>
          <w:szCs w:val="28"/>
        </w:rPr>
        <w:t>Югры</w:t>
      </w:r>
      <w:proofErr w:type="spellEnd"/>
      <w:r w:rsidRPr="00C359CC">
        <w:rPr>
          <w:bCs/>
          <w:iCs/>
          <w:sz w:val="28"/>
          <w:szCs w:val="28"/>
        </w:rPr>
        <w:t xml:space="preserve"> «Педагог-новатор»  и т.д.).</w:t>
      </w:r>
      <w:proofErr w:type="gramEnd"/>
      <w:r w:rsidR="005E649B" w:rsidRPr="00C359CC">
        <w:rPr>
          <w:bCs/>
          <w:iCs/>
          <w:sz w:val="28"/>
          <w:szCs w:val="28"/>
        </w:rPr>
        <w:t xml:space="preserve"> </w:t>
      </w:r>
      <w:r w:rsidR="00270890" w:rsidRPr="00C359CC">
        <w:rPr>
          <w:bCs/>
          <w:iCs/>
          <w:sz w:val="28"/>
          <w:szCs w:val="28"/>
        </w:rPr>
        <w:t>В 2022 году планируется повышение квалификации не менее 0,6</w:t>
      </w:r>
      <w:r w:rsidR="005E649B" w:rsidRPr="00C359CC">
        <w:rPr>
          <w:bCs/>
          <w:iCs/>
          <w:sz w:val="28"/>
          <w:szCs w:val="28"/>
        </w:rPr>
        <w:t>8% педагогических работников общеобразовательных организаций в центре непрерывного повышения профессио</w:t>
      </w:r>
      <w:r w:rsidR="00270890" w:rsidRPr="00C359CC">
        <w:rPr>
          <w:bCs/>
          <w:iCs/>
          <w:sz w:val="28"/>
          <w:szCs w:val="28"/>
        </w:rPr>
        <w:t xml:space="preserve">нального мастерства ХМАО </w:t>
      </w:r>
      <w:r w:rsidR="00671DA6" w:rsidRPr="00C359CC">
        <w:rPr>
          <w:bCs/>
          <w:iCs/>
          <w:sz w:val="28"/>
          <w:szCs w:val="28"/>
        </w:rPr>
        <w:t>–</w:t>
      </w:r>
      <w:r w:rsidR="00270890" w:rsidRPr="00C359CC">
        <w:rPr>
          <w:bCs/>
          <w:iCs/>
          <w:sz w:val="28"/>
          <w:szCs w:val="28"/>
        </w:rPr>
        <w:t xml:space="preserve"> </w:t>
      </w:r>
      <w:proofErr w:type="spellStart"/>
      <w:r w:rsidR="00270890" w:rsidRPr="00C359CC">
        <w:rPr>
          <w:bCs/>
          <w:iCs/>
          <w:sz w:val="28"/>
          <w:szCs w:val="28"/>
        </w:rPr>
        <w:t>Югры</w:t>
      </w:r>
      <w:proofErr w:type="spellEnd"/>
      <w:r w:rsidR="00671DA6" w:rsidRPr="00C359CC">
        <w:rPr>
          <w:rFonts w:eastAsia="Calibri"/>
          <w:sz w:val="28"/>
          <w:szCs w:val="28"/>
          <w:lang w:eastAsia="en-US"/>
        </w:rPr>
        <w:t xml:space="preserve"> (исполнение пок</w:t>
      </w:r>
      <w:r w:rsidR="009A788E" w:rsidRPr="00C359CC">
        <w:rPr>
          <w:rFonts w:eastAsia="Calibri"/>
          <w:sz w:val="28"/>
          <w:szCs w:val="28"/>
          <w:lang w:eastAsia="en-US"/>
        </w:rPr>
        <w:t>азателя в настоящее время – 1,5</w:t>
      </w:r>
      <w:r w:rsidR="00671DA6" w:rsidRPr="00C359CC">
        <w:rPr>
          <w:rFonts w:eastAsia="Calibri"/>
          <w:sz w:val="28"/>
          <w:szCs w:val="28"/>
          <w:lang w:eastAsia="en-US"/>
        </w:rPr>
        <w:t>%).</w:t>
      </w:r>
    </w:p>
    <w:p w:rsidR="001F2899" w:rsidRPr="00C359CC" w:rsidRDefault="001F2899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>Результат:</w:t>
      </w:r>
    </w:p>
    <w:p w:rsidR="001F2899" w:rsidRPr="00C359CC" w:rsidRDefault="001F2899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rFonts w:eastAsia="Calibri"/>
          <w:sz w:val="28"/>
          <w:szCs w:val="28"/>
          <w:lang w:eastAsia="en-US"/>
        </w:rPr>
        <w:t xml:space="preserve">-3 призёра </w:t>
      </w:r>
      <w:r w:rsidRPr="00C359CC">
        <w:rPr>
          <w:bCs/>
          <w:iCs/>
          <w:sz w:val="28"/>
          <w:szCs w:val="28"/>
        </w:rPr>
        <w:t xml:space="preserve">регионального этапа конкурса профессионального мастерства в сфере образования ХМАО– </w:t>
      </w:r>
      <w:proofErr w:type="spellStart"/>
      <w:proofErr w:type="gramStart"/>
      <w:r w:rsidRPr="00C359CC">
        <w:rPr>
          <w:bCs/>
          <w:iCs/>
          <w:sz w:val="28"/>
          <w:szCs w:val="28"/>
        </w:rPr>
        <w:t>Юг</w:t>
      </w:r>
      <w:proofErr w:type="gramEnd"/>
      <w:r w:rsidRPr="00C359CC">
        <w:rPr>
          <w:bCs/>
          <w:iCs/>
          <w:sz w:val="28"/>
          <w:szCs w:val="28"/>
        </w:rPr>
        <w:t>ры</w:t>
      </w:r>
      <w:proofErr w:type="spellEnd"/>
      <w:r w:rsidRPr="00C359CC">
        <w:rPr>
          <w:bCs/>
          <w:iCs/>
          <w:sz w:val="28"/>
          <w:szCs w:val="28"/>
        </w:rPr>
        <w:t xml:space="preserve"> «Педагог года </w:t>
      </w:r>
      <w:proofErr w:type="spellStart"/>
      <w:r w:rsidRPr="00C359CC">
        <w:rPr>
          <w:bCs/>
          <w:iCs/>
          <w:sz w:val="28"/>
          <w:szCs w:val="28"/>
        </w:rPr>
        <w:t>Югры</w:t>
      </w:r>
      <w:proofErr w:type="spellEnd"/>
      <w:r w:rsidRPr="00C359CC">
        <w:rPr>
          <w:bCs/>
          <w:iCs/>
          <w:sz w:val="28"/>
          <w:szCs w:val="28"/>
        </w:rPr>
        <w:t xml:space="preserve"> - 2022» в номинациях «Сердце отдаю детям», «Педагогическ</w:t>
      </w:r>
      <w:r w:rsidR="00EC70C3" w:rsidRPr="00C359CC">
        <w:rPr>
          <w:bCs/>
          <w:iCs/>
          <w:sz w:val="28"/>
          <w:szCs w:val="28"/>
        </w:rPr>
        <w:t>ий дебют», «От сердца к сердцу»;</w:t>
      </w:r>
    </w:p>
    <w:p w:rsidR="00CF3C59" w:rsidRPr="00C359CC" w:rsidRDefault="00CF3C59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359CC">
        <w:rPr>
          <w:sz w:val="28"/>
          <w:szCs w:val="28"/>
        </w:rPr>
        <w:t>-1 команда - финалист Всероссийского профессионального конкурса педагогических команд «Флагманы образования. Школы» президентской платформы «Россия – страна возможностей» (МБОУ «СОКШ № 4»);</w:t>
      </w:r>
    </w:p>
    <w:p w:rsidR="00CF3C59" w:rsidRPr="00C359CC" w:rsidRDefault="00CF3C59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359CC">
        <w:rPr>
          <w:sz w:val="28"/>
          <w:szCs w:val="28"/>
        </w:rPr>
        <w:t>-3 победителя окружного конкурса на звани</w:t>
      </w:r>
      <w:r w:rsidR="003A076D" w:rsidRPr="00C359CC">
        <w:rPr>
          <w:sz w:val="28"/>
          <w:szCs w:val="28"/>
        </w:rPr>
        <w:t>е лучшего педагога Ханты-Мансий</w:t>
      </w:r>
      <w:r w:rsidRPr="00C359CC">
        <w:rPr>
          <w:sz w:val="28"/>
          <w:szCs w:val="28"/>
        </w:rPr>
        <w:t>ского автоно</w:t>
      </w:r>
      <w:r w:rsidR="00B131B3" w:rsidRPr="00C359CC">
        <w:rPr>
          <w:sz w:val="28"/>
          <w:szCs w:val="28"/>
        </w:rPr>
        <w:t xml:space="preserve">много округа – </w:t>
      </w:r>
      <w:proofErr w:type="spellStart"/>
      <w:r w:rsidR="00B131B3" w:rsidRPr="00C359CC">
        <w:rPr>
          <w:sz w:val="28"/>
          <w:szCs w:val="28"/>
        </w:rPr>
        <w:t>Югры</w:t>
      </w:r>
      <w:proofErr w:type="spellEnd"/>
      <w:r w:rsidR="00B131B3" w:rsidRPr="00C359CC">
        <w:rPr>
          <w:sz w:val="28"/>
          <w:szCs w:val="28"/>
        </w:rPr>
        <w:t xml:space="preserve"> в 2022 году;</w:t>
      </w:r>
    </w:p>
    <w:p w:rsidR="00B131B3" w:rsidRPr="00C359CC" w:rsidRDefault="00B131B3" w:rsidP="00B131B3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359CC">
        <w:rPr>
          <w:sz w:val="28"/>
          <w:szCs w:val="28"/>
        </w:rPr>
        <w:t xml:space="preserve">-1 победитель Всероссийского конкурса «Сердце отдаю детям» в </w:t>
      </w:r>
      <w:r w:rsidRPr="00C359CC">
        <w:rPr>
          <w:sz w:val="28"/>
          <w:szCs w:val="28"/>
        </w:rPr>
        <w:lastRenderedPageBreak/>
        <w:t>номинации «Педагог дополнительного образования по технической направленности».</w:t>
      </w:r>
    </w:p>
    <w:p w:rsidR="000738EF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C359CC">
        <w:rPr>
          <w:bCs/>
          <w:iCs/>
          <w:sz w:val="28"/>
          <w:szCs w:val="28"/>
        </w:rPr>
        <w:t>.Н</w:t>
      </w:r>
      <w:proofErr w:type="gramEnd"/>
      <w:r w:rsidRPr="00C359CC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0738EF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C359CC">
        <w:rPr>
          <w:bCs/>
          <w:iCs/>
          <w:sz w:val="28"/>
          <w:szCs w:val="28"/>
        </w:rPr>
        <w:t>тьюторства</w:t>
      </w:r>
      <w:proofErr w:type="spellEnd"/>
      <w:r w:rsidRPr="00C359CC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270890" w:rsidRPr="00C359CC" w:rsidRDefault="00270890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0738EF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C359CC">
        <w:rPr>
          <w:rFonts w:eastAsia="Calibri"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0738EF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359CC">
        <w:rPr>
          <w:rFonts w:eastAsia="Calibri"/>
          <w:sz w:val="28"/>
          <w:szCs w:val="28"/>
          <w:lang w:eastAsia="en-US"/>
        </w:rPr>
        <w:t xml:space="preserve"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до </w:t>
      </w:r>
      <w:r w:rsidR="005F3659" w:rsidRPr="00C359CC">
        <w:rPr>
          <w:rFonts w:eastAsia="Calibri"/>
          <w:sz w:val="28"/>
          <w:szCs w:val="28"/>
          <w:lang w:eastAsia="en-US"/>
        </w:rPr>
        <w:t>87,1</w:t>
      </w:r>
      <w:r w:rsidRPr="00C359CC">
        <w:rPr>
          <w:rFonts w:eastAsia="Calibri"/>
          <w:sz w:val="28"/>
          <w:szCs w:val="28"/>
          <w:lang w:eastAsia="en-US"/>
        </w:rPr>
        <w:t>%, в городе созданы условия для дополнительного образования детей в сферах образования, культуры, физической культуры и спорта</w:t>
      </w:r>
      <w:r w:rsidR="005F3659" w:rsidRPr="00C359CC">
        <w:rPr>
          <w:rFonts w:eastAsia="Calibri"/>
          <w:sz w:val="28"/>
          <w:szCs w:val="28"/>
          <w:lang w:eastAsia="en-US"/>
        </w:rPr>
        <w:t xml:space="preserve"> (исполнение </w:t>
      </w:r>
      <w:r w:rsidR="001F2899" w:rsidRPr="00C359CC">
        <w:rPr>
          <w:rFonts w:eastAsia="Calibri"/>
          <w:sz w:val="28"/>
          <w:szCs w:val="28"/>
          <w:lang w:eastAsia="en-US"/>
        </w:rPr>
        <w:t>п</w:t>
      </w:r>
      <w:r w:rsidR="00D31D93" w:rsidRPr="00C359CC">
        <w:rPr>
          <w:rFonts w:eastAsia="Calibri"/>
          <w:sz w:val="28"/>
          <w:szCs w:val="28"/>
          <w:lang w:eastAsia="en-US"/>
        </w:rPr>
        <w:t>о</w:t>
      </w:r>
      <w:r w:rsidR="009A788E" w:rsidRPr="00C359CC">
        <w:rPr>
          <w:rFonts w:eastAsia="Calibri"/>
          <w:sz w:val="28"/>
          <w:szCs w:val="28"/>
          <w:lang w:eastAsia="en-US"/>
        </w:rPr>
        <w:t>казателя в настоящее время – 86,7</w:t>
      </w:r>
      <w:r w:rsidR="005F3659" w:rsidRPr="00C359CC">
        <w:rPr>
          <w:rFonts w:eastAsia="Calibri"/>
          <w:sz w:val="28"/>
          <w:szCs w:val="28"/>
          <w:lang w:eastAsia="en-US"/>
        </w:rPr>
        <w:t>%, план 2022 г. – 8</w:t>
      </w:r>
      <w:r w:rsidR="00D31D93" w:rsidRPr="00C359CC">
        <w:rPr>
          <w:rFonts w:eastAsia="Calibri"/>
          <w:sz w:val="28"/>
          <w:szCs w:val="28"/>
          <w:lang w:eastAsia="en-US"/>
        </w:rPr>
        <w:t>6,9</w:t>
      </w:r>
      <w:r w:rsidR="00BB47E2" w:rsidRPr="00C359CC">
        <w:rPr>
          <w:rFonts w:eastAsia="Calibri"/>
          <w:sz w:val="28"/>
          <w:szCs w:val="28"/>
          <w:lang w:eastAsia="en-US"/>
        </w:rPr>
        <w:t>%</w:t>
      </w:r>
      <w:r w:rsidR="005F3659" w:rsidRPr="00C359CC">
        <w:rPr>
          <w:rFonts w:eastAsia="Calibri"/>
          <w:sz w:val="28"/>
          <w:szCs w:val="28"/>
          <w:lang w:eastAsia="en-US"/>
        </w:rPr>
        <w:t>).</w:t>
      </w:r>
      <w:r w:rsidRPr="00C359CC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0738EF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 xml:space="preserve">Реализуется система персонифицированного финансирования дополнительного образования: </w:t>
      </w:r>
      <w:r w:rsidR="009A788E" w:rsidRPr="00C359CC">
        <w:rPr>
          <w:rFonts w:eastAsia="Calibri"/>
          <w:sz w:val="28"/>
          <w:szCs w:val="28"/>
          <w:lang w:eastAsia="en-US"/>
        </w:rPr>
        <w:t>19</w:t>
      </w:r>
      <w:r w:rsidRPr="00C359CC">
        <w:rPr>
          <w:rFonts w:eastAsia="Calibri"/>
          <w:sz w:val="28"/>
          <w:szCs w:val="28"/>
          <w:lang w:eastAsia="en-US"/>
        </w:rPr>
        <w:t xml:space="preserve">% детей, получают услугу по сертификату дополнительного образования в муниципальных образовательных организациях и у негосударственных поставщиков услуг. </w:t>
      </w:r>
      <w:r w:rsidR="00B131B3" w:rsidRPr="00C359CC">
        <w:rPr>
          <w:rFonts w:eastAsia="Calibri"/>
          <w:sz w:val="28"/>
          <w:szCs w:val="28"/>
          <w:lang w:eastAsia="en-US"/>
        </w:rPr>
        <w:t>На портале персонифицированного дополнительного образования находится 609 программ дополнительного образования, прошедших сертификацию</w:t>
      </w:r>
      <w:r w:rsidRPr="00C359CC">
        <w:rPr>
          <w:rFonts w:eastAsia="Calibri"/>
          <w:sz w:val="28"/>
          <w:szCs w:val="28"/>
          <w:lang w:eastAsia="en-US"/>
        </w:rPr>
        <w:t xml:space="preserve">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</w:r>
    </w:p>
    <w:p w:rsidR="00281932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 xml:space="preserve">По итогам реализации проекта в 2024 году </w:t>
      </w:r>
      <w:r w:rsidR="00DF1BFF" w:rsidRPr="00C359CC">
        <w:rPr>
          <w:rFonts w:eastAsia="Calibri"/>
          <w:sz w:val="28"/>
          <w:szCs w:val="28"/>
          <w:lang w:eastAsia="en-US"/>
        </w:rPr>
        <w:t>не менее 45</w:t>
      </w:r>
      <w:r w:rsidR="00553898" w:rsidRPr="00C359CC">
        <w:rPr>
          <w:rFonts w:eastAsia="Calibri"/>
          <w:sz w:val="28"/>
          <w:szCs w:val="28"/>
          <w:lang w:eastAsia="en-US"/>
        </w:rPr>
        <w:t>%</w:t>
      </w:r>
      <w:r w:rsidRPr="00C359CC">
        <w:rPr>
          <w:rFonts w:eastAsia="Calibri"/>
          <w:sz w:val="28"/>
          <w:szCs w:val="28"/>
          <w:lang w:eastAsia="en-US"/>
        </w:rPr>
        <w:t xml:space="preserve">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». Для решения этой задачи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ХМ</w:t>
      </w:r>
      <w:r w:rsidR="00553898" w:rsidRPr="00C359CC">
        <w:rPr>
          <w:rFonts w:eastAsia="Calibri"/>
          <w:sz w:val="28"/>
          <w:szCs w:val="28"/>
          <w:lang w:eastAsia="en-US"/>
        </w:rPr>
        <w:t>АО-Югры</w:t>
      </w:r>
      <w:proofErr w:type="spellEnd"/>
      <w:r w:rsidR="00553898" w:rsidRPr="00C359CC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="00553898" w:rsidRPr="00C359CC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="00553898" w:rsidRPr="00C359CC">
        <w:rPr>
          <w:rFonts w:eastAsia="Calibri"/>
          <w:sz w:val="28"/>
          <w:szCs w:val="28"/>
          <w:lang w:eastAsia="en-US"/>
        </w:rPr>
        <w:t>»</w:t>
      </w:r>
      <w:r w:rsidR="005F3659" w:rsidRPr="00C359CC">
        <w:rPr>
          <w:rFonts w:eastAsia="Calibri"/>
          <w:sz w:val="28"/>
          <w:szCs w:val="28"/>
          <w:lang w:eastAsia="en-US"/>
        </w:rPr>
        <w:t xml:space="preserve"> (исполнение </w:t>
      </w:r>
      <w:r w:rsidR="00DF1BFF" w:rsidRPr="00C359CC">
        <w:rPr>
          <w:rFonts w:eastAsia="Calibri"/>
          <w:sz w:val="28"/>
          <w:szCs w:val="28"/>
          <w:lang w:eastAsia="en-US"/>
        </w:rPr>
        <w:t>показателя в настоящее время – 2</w:t>
      </w:r>
      <w:r w:rsidR="009A788E" w:rsidRPr="00C359CC">
        <w:rPr>
          <w:rFonts w:eastAsia="Calibri"/>
          <w:sz w:val="28"/>
          <w:szCs w:val="28"/>
          <w:lang w:eastAsia="en-US"/>
        </w:rPr>
        <w:t>4</w:t>
      </w:r>
      <w:r w:rsidR="00DF1BFF" w:rsidRPr="00C359CC">
        <w:rPr>
          <w:rFonts w:eastAsia="Calibri"/>
          <w:sz w:val="28"/>
          <w:szCs w:val="28"/>
          <w:lang w:eastAsia="en-US"/>
        </w:rPr>
        <w:t>,</w:t>
      </w:r>
      <w:r w:rsidR="009A788E" w:rsidRPr="00C359CC">
        <w:rPr>
          <w:rFonts w:eastAsia="Calibri"/>
          <w:sz w:val="28"/>
          <w:szCs w:val="28"/>
          <w:lang w:eastAsia="en-US"/>
        </w:rPr>
        <w:t>7</w:t>
      </w:r>
      <w:r w:rsidR="006D15F6" w:rsidRPr="00C359CC">
        <w:rPr>
          <w:rFonts w:eastAsia="Calibri"/>
          <w:sz w:val="28"/>
          <w:szCs w:val="28"/>
          <w:lang w:eastAsia="en-US"/>
        </w:rPr>
        <w:t>%, план 2022 г. – 3</w:t>
      </w:r>
      <w:r w:rsidR="00DF1BFF" w:rsidRPr="00C359CC">
        <w:rPr>
          <w:rFonts w:eastAsia="Calibri"/>
          <w:sz w:val="28"/>
          <w:szCs w:val="28"/>
          <w:lang w:eastAsia="en-US"/>
        </w:rPr>
        <w:t>5,6</w:t>
      </w:r>
      <w:r w:rsidR="005F3659" w:rsidRPr="00C359CC">
        <w:rPr>
          <w:rFonts w:eastAsia="Calibri"/>
          <w:sz w:val="28"/>
          <w:szCs w:val="28"/>
          <w:lang w:eastAsia="en-US"/>
        </w:rPr>
        <w:t>%).</w:t>
      </w:r>
      <w:r w:rsidR="00281932" w:rsidRPr="00C359CC">
        <w:rPr>
          <w:rFonts w:eastAsia="Calibri"/>
          <w:sz w:val="28"/>
          <w:szCs w:val="28"/>
          <w:lang w:eastAsia="en-US"/>
        </w:rPr>
        <w:t xml:space="preserve"> </w:t>
      </w:r>
    </w:p>
    <w:p w:rsidR="00281932" w:rsidRPr="00C359CC" w:rsidRDefault="00281932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 xml:space="preserve">К 2024 году 37%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</w:t>
      </w:r>
      <w:proofErr w:type="gramStart"/>
      <w:r w:rsidRPr="00C359CC">
        <w:rPr>
          <w:rFonts w:eastAsia="Calibri"/>
          <w:sz w:val="28"/>
          <w:szCs w:val="28"/>
          <w:lang w:eastAsia="en-US"/>
        </w:rPr>
        <w:t xml:space="preserve">С этой целью организовано дистанционное участие учащихся общеобразовательных организаций  в открытых 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», «Открытые уроки», «Уроки </w:t>
      </w:r>
      <w:r w:rsidRPr="00C359CC">
        <w:rPr>
          <w:rFonts w:eastAsia="Calibri"/>
          <w:sz w:val="28"/>
          <w:szCs w:val="28"/>
          <w:lang w:eastAsia="en-US"/>
        </w:rPr>
        <w:lastRenderedPageBreak/>
        <w:t>настоящего», «Билет в будущее», иных проектах, направленных на раннюю профориентацию учащихся (</w:t>
      </w:r>
      <w:r w:rsidR="006962C0" w:rsidRPr="00C359CC">
        <w:rPr>
          <w:rFonts w:eastAsia="Calibri"/>
          <w:sz w:val="28"/>
          <w:szCs w:val="28"/>
          <w:lang w:eastAsia="en-US"/>
        </w:rPr>
        <w:t>исполнение по</w:t>
      </w:r>
      <w:r w:rsidR="009A788E" w:rsidRPr="00C359CC">
        <w:rPr>
          <w:rFonts w:eastAsia="Calibri"/>
          <w:sz w:val="28"/>
          <w:szCs w:val="28"/>
          <w:lang w:eastAsia="en-US"/>
        </w:rPr>
        <w:t>казателя в настоящее время – 16</w:t>
      </w:r>
      <w:r w:rsidR="006962C0" w:rsidRPr="00C359CC">
        <w:rPr>
          <w:rFonts w:eastAsia="Calibri"/>
          <w:sz w:val="28"/>
          <w:szCs w:val="28"/>
          <w:lang w:eastAsia="en-US"/>
        </w:rPr>
        <w:t xml:space="preserve">%, </w:t>
      </w:r>
      <w:r w:rsidR="00DF1BFF" w:rsidRPr="00C359CC">
        <w:rPr>
          <w:rFonts w:eastAsia="Calibri"/>
          <w:sz w:val="28"/>
          <w:szCs w:val="28"/>
          <w:lang w:eastAsia="en-US"/>
        </w:rPr>
        <w:t>план 2022 г. – 3</w:t>
      </w:r>
      <w:r w:rsidR="005F3659" w:rsidRPr="00C359CC">
        <w:rPr>
          <w:rFonts w:eastAsia="Calibri"/>
          <w:sz w:val="28"/>
          <w:szCs w:val="28"/>
          <w:lang w:eastAsia="en-US"/>
        </w:rPr>
        <w:t>0%</w:t>
      </w:r>
      <w:r w:rsidRPr="00C359CC">
        <w:rPr>
          <w:rFonts w:eastAsia="Calibri"/>
          <w:sz w:val="28"/>
          <w:szCs w:val="28"/>
          <w:lang w:eastAsia="en-US"/>
        </w:rPr>
        <w:t xml:space="preserve">). </w:t>
      </w:r>
      <w:proofErr w:type="gramEnd"/>
    </w:p>
    <w:p w:rsidR="000738EF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C359CC">
        <w:rPr>
          <w:rFonts w:eastAsia="Calibri"/>
          <w:sz w:val="28"/>
          <w:szCs w:val="28"/>
          <w:lang w:eastAsia="en-US"/>
        </w:rPr>
        <w:t>ДО</w:t>
      </w:r>
      <w:proofErr w:type="gramEnd"/>
      <w:r w:rsidRPr="00C359CC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C359CC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C359CC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</w:t>
      </w:r>
      <w:r w:rsidR="00553898" w:rsidRPr="00C359CC">
        <w:rPr>
          <w:rFonts w:eastAsia="Calibri"/>
          <w:sz w:val="28"/>
          <w:szCs w:val="28"/>
          <w:lang w:eastAsia="en-US"/>
        </w:rPr>
        <w:t xml:space="preserve">Успешно реализуется 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C359CC">
        <w:rPr>
          <w:rFonts w:eastAsia="Calibri"/>
          <w:sz w:val="28"/>
          <w:szCs w:val="28"/>
          <w:lang w:eastAsia="en-US"/>
        </w:rPr>
        <w:t xml:space="preserve"> на БУДУЩЕЕ», </w:t>
      </w:r>
      <w:r w:rsidR="00553898" w:rsidRPr="00C359CC">
        <w:rPr>
          <w:rFonts w:eastAsia="Calibri"/>
          <w:sz w:val="28"/>
          <w:szCs w:val="28"/>
          <w:lang w:eastAsia="en-US"/>
        </w:rPr>
        <w:t>созданный</w:t>
      </w:r>
      <w:r w:rsidRPr="00C359CC">
        <w:rPr>
          <w:rFonts w:eastAsia="Calibri"/>
          <w:sz w:val="28"/>
          <w:szCs w:val="28"/>
          <w:lang w:eastAsia="en-US"/>
        </w:rPr>
        <w:t xml:space="preserve"> в сотрудничестве с ООО «</w:t>
      </w:r>
      <w:proofErr w:type="spellStart"/>
      <w:r w:rsidRPr="00C359CC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C359CC">
        <w:rPr>
          <w:rFonts w:eastAsia="Calibri"/>
          <w:sz w:val="28"/>
          <w:szCs w:val="28"/>
          <w:lang w:eastAsia="en-US"/>
        </w:rPr>
        <w:t>».</w:t>
      </w:r>
    </w:p>
    <w:p w:rsidR="000738EF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C359CC">
        <w:rPr>
          <w:rFonts w:eastAsia="Calibri"/>
          <w:sz w:val="28"/>
          <w:szCs w:val="28"/>
          <w:lang w:eastAsia="en-US"/>
        </w:rPr>
        <w:t>ДО</w:t>
      </w:r>
      <w:proofErr w:type="gramEnd"/>
      <w:r w:rsidRPr="00C359CC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C359CC">
        <w:rPr>
          <w:rFonts w:eastAsia="Calibri"/>
          <w:sz w:val="28"/>
          <w:szCs w:val="28"/>
          <w:lang w:eastAsia="en-US"/>
        </w:rPr>
        <w:t>Дом</w:t>
      </w:r>
      <w:proofErr w:type="gramEnd"/>
      <w:r w:rsidRPr="00C359CC">
        <w:rPr>
          <w:rFonts w:eastAsia="Calibri"/>
          <w:sz w:val="28"/>
          <w:szCs w:val="28"/>
          <w:lang w:eastAsia="en-US"/>
        </w:rPr>
        <w:t xml:space="preserve"> детского творчества». </w:t>
      </w:r>
    </w:p>
    <w:p w:rsidR="000738EF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C359CC">
        <w:rPr>
          <w:rFonts w:eastAsia="Calibri"/>
          <w:sz w:val="28"/>
          <w:szCs w:val="28"/>
          <w:lang w:eastAsia="en-US"/>
        </w:rPr>
        <w:t>ДО</w:t>
      </w:r>
      <w:proofErr w:type="gramEnd"/>
      <w:r w:rsidRPr="00C359CC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C359CC">
        <w:rPr>
          <w:rFonts w:eastAsia="Calibri"/>
          <w:sz w:val="28"/>
          <w:szCs w:val="28"/>
          <w:lang w:eastAsia="en-US"/>
        </w:rPr>
        <w:t>Дом</w:t>
      </w:r>
      <w:proofErr w:type="gramEnd"/>
      <w:r w:rsidRPr="00C359CC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0738EF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C359CC">
        <w:rPr>
          <w:i/>
          <w:sz w:val="28"/>
          <w:szCs w:val="28"/>
        </w:rPr>
        <w:t>Региональный проект «</w:t>
      </w:r>
      <w:r w:rsidRPr="00C359CC">
        <w:rPr>
          <w:bCs/>
          <w:i/>
          <w:iCs/>
          <w:sz w:val="28"/>
          <w:szCs w:val="28"/>
        </w:rPr>
        <w:t>Поддержка семей, имеющих детей»</w:t>
      </w:r>
    </w:p>
    <w:p w:rsidR="00E549CB" w:rsidRPr="00C359CC" w:rsidRDefault="00E549CB" w:rsidP="00E549C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bCs/>
          <w:iCs/>
          <w:sz w:val="28"/>
          <w:szCs w:val="28"/>
        </w:rPr>
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</w:r>
      <w:proofErr w:type="spellStart"/>
      <w:r w:rsidRPr="00C359CC">
        <w:rPr>
          <w:bCs/>
          <w:iCs/>
          <w:sz w:val="28"/>
          <w:szCs w:val="28"/>
        </w:rPr>
        <w:t>лекотеки</w:t>
      </w:r>
      <w:proofErr w:type="spellEnd"/>
      <w:r w:rsidRPr="00C359CC">
        <w:rPr>
          <w:bCs/>
          <w:iCs/>
          <w:sz w:val="28"/>
          <w:szCs w:val="28"/>
        </w:rPr>
        <w:t xml:space="preserve"> для родителей (законных представителей) детей с особыми образовательными потребностями.</w:t>
      </w:r>
    </w:p>
    <w:p w:rsidR="00E549CB" w:rsidRPr="00C359CC" w:rsidRDefault="00E549CB" w:rsidP="00E549C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bCs/>
          <w:iCs/>
          <w:sz w:val="28"/>
          <w:szCs w:val="28"/>
        </w:rPr>
        <w:t xml:space="preserve">В рамках реализации проекта 6 дошкольных образовательных организаций (40%)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осуществляется комплексная оценка качества дошкольного образования. </w:t>
      </w:r>
    </w:p>
    <w:p w:rsidR="00E549CB" w:rsidRPr="00C359CC" w:rsidRDefault="00E549CB" w:rsidP="00E549C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bCs/>
          <w:iCs/>
          <w:sz w:val="28"/>
          <w:szCs w:val="28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C359CC">
        <w:rPr>
          <w:bCs/>
          <w:iCs/>
          <w:sz w:val="28"/>
          <w:szCs w:val="28"/>
        </w:rPr>
        <w:t>компетентностного</w:t>
      </w:r>
      <w:proofErr w:type="spellEnd"/>
      <w:r w:rsidRPr="00C359CC">
        <w:rPr>
          <w:bCs/>
          <w:iCs/>
          <w:sz w:val="28"/>
          <w:szCs w:val="28"/>
        </w:rPr>
        <w:t xml:space="preserve"> центра инклюзивного образования «</w:t>
      </w:r>
      <w:proofErr w:type="spellStart"/>
      <w:r w:rsidRPr="00C359CC">
        <w:rPr>
          <w:bCs/>
          <w:iCs/>
          <w:sz w:val="28"/>
          <w:szCs w:val="28"/>
        </w:rPr>
        <w:t>Инклюверсариум</w:t>
      </w:r>
      <w:proofErr w:type="spellEnd"/>
      <w:r w:rsidRPr="00C359CC">
        <w:rPr>
          <w:bCs/>
          <w:iCs/>
          <w:sz w:val="28"/>
          <w:szCs w:val="28"/>
        </w:rPr>
        <w:t>».</w:t>
      </w:r>
    </w:p>
    <w:p w:rsidR="000738EF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0738EF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C359CC">
        <w:rPr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0738EF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359CC">
        <w:rPr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</w:t>
      </w:r>
      <w:r w:rsidRPr="00C359CC">
        <w:rPr>
          <w:sz w:val="28"/>
          <w:szCs w:val="28"/>
        </w:rPr>
        <w:lastRenderedPageBreak/>
        <w:t xml:space="preserve">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C359CC">
        <w:rPr>
          <w:sz w:val="28"/>
          <w:szCs w:val="28"/>
        </w:rPr>
        <w:t>контента</w:t>
      </w:r>
      <w:proofErr w:type="spellEnd"/>
      <w:r w:rsidRPr="00C359CC">
        <w:rPr>
          <w:sz w:val="28"/>
          <w:szCs w:val="28"/>
        </w:rPr>
        <w:t xml:space="preserve"> для образовательной деятельности.</w:t>
      </w:r>
    </w:p>
    <w:p w:rsidR="00CE077A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C359CC">
        <w:rPr>
          <w:bCs/>
          <w:iCs/>
          <w:sz w:val="28"/>
          <w:szCs w:val="28"/>
        </w:rPr>
        <w:t>Для решения задачи по созданию к 2024 году современной и безопасной цифровой образовательной среды, обеспечивающей высокое качество и доступность</w:t>
      </w:r>
      <w:r w:rsidRPr="00C359CC">
        <w:rPr>
          <w:bCs/>
          <w:iCs/>
          <w:color w:val="000000" w:themeColor="text1"/>
          <w:sz w:val="28"/>
          <w:szCs w:val="28"/>
        </w:rPr>
        <w:t xml:space="preserve"> образования всех видов и уровней,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CE077A" w:rsidRPr="00C359CC" w:rsidRDefault="00CE077A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Style w:val="markedcontent"/>
          <w:color w:val="000000" w:themeColor="text1"/>
          <w:sz w:val="28"/>
          <w:szCs w:val="28"/>
        </w:rPr>
      </w:pPr>
      <w:r w:rsidRPr="00C359CC">
        <w:rPr>
          <w:bCs/>
          <w:iCs/>
          <w:color w:val="000000" w:themeColor="text1"/>
          <w:sz w:val="28"/>
          <w:szCs w:val="28"/>
        </w:rPr>
        <w:t xml:space="preserve">100% общеобразовательных организаций подключены к единой сети передачи данных (ЕСПД),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C359CC">
        <w:rPr>
          <w:bCs/>
          <w:iCs/>
          <w:color w:val="000000" w:themeColor="text1"/>
          <w:sz w:val="28"/>
          <w:szCs w:val="28"/>
        </w:rPr>
        <w:t>хостинга</w:t>
      </w:r>
      <w:proofErr w:type="spellEnd"/>
      <w:r w:rsidRPr="00C359CC">
        <w:rPr>
          <w:bCs/>
          <w:iCs/>
          <w:color w:val="000000" w:themeColor="text1"/>
          <w:sz w:val="28"/>
          <w:szCs w:val="28"/>
        </w:rPr>
        <w:t>.</w:t>
      </w:r>
      <w:r w:rsidRPr="00C359CC">
        <w:rPr>
          <w:color w:val="000000" w:themeColor="text1"/>
          <w:sz w:val="28"/>
          <w:szCs w:val="28"/>
        </w:rPr>
        <w:t xml:space="preserve"> 100% общеобразовательных организаций являются участниками </w:t>
      </w:r>
      <w:proofErr w:type="spellStart"/>
      <w:r w:rsidRPr="00C359CC">
        <w:rPr>
          <w:color w:val="000000" w:themeColor="text1"/>
          <w:sz w:val="28"/>
          <w:szCs w:val="28"/>
        </w:rPr>
        <w:t>пилотного</w:t>
      </w:r>
      <w:proofErr w:type="spellEnd"/>
      <w:r w:rsidRPr="00C359CC">
        <w:rPr>
          <w:color w:val="000000" w:themeColor="text1"/>
          <w:sz w:val="28"/>
          <w:szCs w:val="28"/>
        </w:rPr>
        <w:t xml:space="preserve"> </w:t>
      </w:r>
      <w:r w:rsidRPr="00C359CC">
        <w:rPr>
          <w:rStyle w:val="markedcontent"/>
          <w:color w:val="000000" w:themeColor="text1"/>
          <w:sz w:val="28"/>
          <w:szCs w:val="28"/>
        </w:rPr>
        <w:t>проекта «</w:t>
      </w:r>
      <w:proofErr w:type="spellStart"/>
      <w:r w:rsidRPr="00C359CC">
        <w:rPr>
          <w:rStyle w:val="markedcontent"/>
          <w:color w:val="000000" w:themeColor="text1"/>
          <w:sz w:val="28"/>
          <w:szCs w:val="28"/>
        </w:rPr>
        <w:t>Гос</w:t>
      </w:r>
      <w:proofErr w:type="gramStart"/>
      <w:r w:rsidRPr="00C359CC">
        <w:rPr>
          <w:rStyle w:val="markedcontent"/>
          <w:color w:val="000000" w:themeColor="text1"/>
          <w:sz w:val="28"/>
          <w:szCs w:val="28"/>
        </w:rPr>
        <w:t>Web</w:t>
      </w:r>
      <w:proofErr w:type="spellEnd"/>
      <w:proofErr w:type="gramEnd"/>
      <w:r w:rsidRPr="00C359CC">
        <w:rPr>
          <w:rStyle w:val="markedcontent"/>
          <w:color w:val="000000" w:themeColor="text1"/>
          <w:sz w:val="28"/>
          <w:szCs w:val="28"/>
        </w:rPr>
        <w:t>»</w:t>
      </w:r>
      <w:r w:rsidRPr="00C359CC">
        <w:rPr>
          <w:color w:val="000000" w:themeColor="text1"/>
          <w:sz w:val="28"/>
          <w:szCs w:val="28"/>
        </w:rPr>
        <w:t xml:space="preserve"> (</w:t>
      </w:r>
      <w:r w:rsidRPr="00C359CC">
        <w:rPr>
          <w:rStyle w:val="markedcontent"/>
          <w:color w:val="000000" w:themeColor="text1"/>
          <w:sz w:val="28"/>
          <w:szCs w:val="28"/>
        </w:rPr>
        <w:t>опытно-промышленная эксплуатация конструктора сайтов на базе единого</w:t>
      </w:r>
      <w:r w:rsidRPr="00C359CC">
        <w:rPr>
          <w:color w:val="000000" w:themeColor="text1"/>
          <w:sz w:val="28"/>
          <w:szCs w:val="28"/>
        </w:rPr>
        <w:t xml:space="preserve"> </w:t>
      </w:r>
      <w:r w:rsidRPr="00C359CC">
        <w:rPr>
          <w:rStyle w:val="markedcontent"/>
          <w:color w:val="000000" w:themeColor="text1"/>
          <w:sz w:val="28"/>
          <w:szCs w:val="28"/>
        </w:rPr>
        <w:t>портала государственных и муниципальных услуг).</w:t>
      </w:r>
    </w:p>
    <w:p w:rsidR="00CE077A" w:rsidRPr="00C359CC" w:rsidRDefault="00CE077A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C359CC">
        <w:rPr>
          <w:bCs/>
          <w:iCs/>
          <w:color w:val="000000" w:themeColor="text1"/>
          <w:sz w:val="28"/>
          <w:szCs w:val="28"/>
        </w:rPr>
        <w:t xml:space="preserve">Государственная информационная система Ханты-Мансийского автономного округа - </w:t>
      </w:r>
      <w:proofErr w:type="spellStart"/>
      <w:r w:rsidRPr="00C359C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C359CC">
        <w:rPr>
          <w:bCs/>
          <w:iCs/>
          <w:color w:val="000000" w:themeColor="text1"/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C359C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C359CC">
        <w:rPr>
          <w:bCs/>
          <w:iCs/>
          <w:color w:val="000000" w:themeColor="text1"/>
          <w:sz w:val="28"/>
          <w:szCs w:val="28"/>
        </w:rPr>
        <w:t xml:space="preserve"> (ГИС Образование </w:t>
      </w:r>
      <w:proofErr w:type="spellStart"/>
      <w:r w:rsidRPr="00C359C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C359CC">
        <w:rPr>
          <w:bCs/>
          <w:iCs/>
          <w:color w:val="000000" w:themeColor="text1"/>
          <w:sz w:val="28"/>
          <w:szCs w:val="28"/>
        </w:rPr>
        <w:t xml:space="preserve">)» внедрена в 100% образовательных организаций. В 2021-2022 учебном году в системе ЦОП «ГИС Образование </w:t>
      </w:r>
      <w:proofErr w:type="spellStart"/>
      <w:r w:rsidRPr="00C359C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C359CC">
        <w:rPr>
          <w:bCs/>
          <w:iCs/>
          <w:color w:val="000000" w:themeColor="text1"/>
          <w:sz w:val="28"/>
          <w:szCs w:val="28"/>
        </w:rPr>
        <w:t>» запущены два новых модуля «Личный кабинет родителя», где родители (законные представители) могут принимать участие в образовательном процессе своего ребёнка и «Школьное питание», которое обеспечивает автоматизацию всех процессов организации питания, а также четырёхступенчатую систему контроля качества питания. Ведется разработка модуля «Безопасность», внедрение которого позволит обеспечить комплексный анализ всех входных групп образовательных организаций.</w:t>
      </w:r>
    </w:p>
    <w:p w:rsidR="00CE077A" w:rsidRPr="00C359CC" w:rsidRDefault="00CE077A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proofErr w:type="gramStart"/>
      <w:r w:rsidRPr="00C359CC">
        <w:rPr>
          <w:bCs/>
          <w:iCs/>
          <w:color w:val="000000" w:themeColor="text1"/>
          <w:sz w:val="28"/>
          <w:szCs w:val="28"/>
        </w:rPr>
        <w:t xml:space="preserve">В соответствии с распоряжением Правительства Ханты-Мансийского автономного округа – </w:t>
      </w:r>
      <w:proofErr w:type="spellStart"/>
      <w:r w:rsidRPr="00C359CC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C359CC">
        <w:rPr>
          <w:bCs/>
          <w:iCs/>
          <w:color w:val="000000" w:themeColor="text1"/>
          <w:sz w:val="28"/>
          <w:szCs w:val="28"/>
        </w:rPr>
        <w:t xml:space="preserve"> от 05.07.2019 № 356-рп 13 общеобразовательных организаций (86,66%) включены в реализацию региональной составляющей федерального проекта «Цифровая образовательная среда», в которых выполнена поставка оборудования, приобретенного за счет средств федерального бюджета для внедрения целевой модели цифровой образовательной среды (в МБОУ «СОШ № 3 им. </w:t>
      </w:r>
      <w:proofErr w:type="spellStart"/>
      <w:r w:rsidRPr="00C359CC">
        <w:rPr>
          <w:bCs/>
          <w:iCs/>
          <w:color w:val="000000" w:themeColor="text1"/>
          <w:sz w:val="28"/>
          <w:szCs w:val="28"/>
        </w:rPr>
        <w:t>А.А.Ивасенко</w:t>
      </w:r>
      <w:proofErr w:type="spellEnd"/>
      <w:r w:rsidRPr="00C359CC">
        <w:rPr>
          <w:bCs/>
          <w:iCs/>
          <w:color w:val="000000" w:themeColor="text1"/>
          <w:sz w:val="28"/>
          <w:szCs w:val="28"/>
        </w:rPr>
        <w:t>», МБОУ «СОШ № 6» поставка оборудования планируется в 2024</w:t>
      </w:r>
      <w:proofErr w:type="gramEnd"/>
      <w:r w:rsidRPr="00C359CC">
        <w:rPr>
          <w:bCs/>
          <w:iCs/>
          <w:color w:val="000000" w:themeColor="text1"/>
          <w:sz w:val="28"/>
          <w:szCs w:val="28"/>
        </w:rPr>
        <w:t xml:space="preserve"> году).</w:t>
      </w:r>
    </w:p>
    <w:p w:rsidR="000738EF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C359CC">
        <w:rPr>
          <w:bCs/>
          <w:iCs/>
          <w:color w:val="000000" w:themeColor="text1"/>
          <w:sz w:val="28"/>
          <w:szCs w:val="28"/>
        </w:rPr>
        <w:t xml:space="preserve">В МБОУ «СОШ № 2 </w:t>
      </w:r>
      <w:proofErr w:type="spellStart"/>
      <w:r w:rsidRPr="00C359CC">
        <w:rPr>
          <w:bCs/>
          <w:iCs/>
          <w:color w:val="000000" w:themeColor="text1"/>
          <w:sz w:val="28"/>
          <w:szCs w:val="28"/>
        </w:rPr>
        <w:t>им.А.И.Исаевой</w:t>
      </w:r>
      <w:proofErr w:type="spellEnd"/>
      <w:r w:rsidRPr="00C359CC">
        <w:rPr>
          <w:bCs/>
          <w:iCs/>
          <w:color w:val="000000" w:themeColor="text1"/>
          <w:sz w:val="28"/>
          <w:szCs w:val="28"/>
        </w:rPr>
        <w:t xml:space="preserve">» функционирует узловой информационно - библиотечный центр, цель которого – </w:t>
      </w:r>
      <w:hyperlink r:id="rId8" w:tooltip="Prikaz SHIBC.pdf" w:history="1">
        <w:r w:rsidRPr="00C359CC">
          <w:rPr>
            <w:bCs/>
            <w:iCs/>
            <w:color w:val="000000" w:themeColor="text1"/>
            <w:sz w:val="28"/>
            <w:szCs w:val="28"/>
          </w:rPr>
          <w:t xml:space="preserve">развитие системы </w:t>
        </w:r>
        <w:r w:rsidRPr="00C359CC">
          <w:rPr>
            <w:bCs/>
            <w:iCs/>
            <w:color w:val="000000" w:themeColor="text1"/>
            <w:sz w:val="28"/>
            <w:szCs w:val="28"/>
          </w:rPr>
          <w:lastRenderedPageBreak/>
          <w:t xml:space="preserve">библиотечного делопроизводства в образовательных </w:t>
        </w:r>
        <w:proofErr w:type="gramStart"/>
        <w:r w:rsidRPr="00C359CC">
          <w:rPr>
            <w:bCs/>
            <w:iCs/>
            <w:color w:val="000000" w:themeColor="text1"/>
            <w:sz w:val="28"/>
            <w:szCs w:val="28"/>
          </w:rPr>
          <w:t>организаци</w:t>
        </w:r>
      </w:hyperlink>
      <w:r w:rsidRPr="00C359CC">
        <w:rPr>
          <w:bCs/>
          <w:iCs/>
          <w:color w:val="000000" w:themeColor="text1"/>
          <w:sz w:val="28"/>
          <w:szCs w:val="28"/>
        </w:rPr>
        <w:t>ях</w:t>
      </w:r>
      <w:proofErr w:type="gramEnd"/>
      <w:r w:rsidRPr="00C359CC">
        <w:rPr>
          <w:bCs/>
          <w:iCs/>
          <w:color w:val="000000" w:themeColor="text1"/>
          <w:sz w:val="28"/>
          <w:szCs w:val="28"/>
        </w:rPr>
        <w:t xml:space="preserve"> города, 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C359CC">
        <w:rPr>
          <w:bCs/>
          <w:iCs/>
          <w:color w:val="000000" w:themeColor="text1"/>
          <w:sz w:val="28"/>
          <w:szCs w:val="28"/>
        </w:rPr>
        <w:t>А.А.Ивасенко</w:t>
      </w:r>
      <w:proofErr w:type="spellEnd"/>
      <w:r w:rsidRPr="00C359CC">
        <w:rPr>
          <w:bCs/>
          <w:iCs/>
          <w:color w:val="000000" w:themeColor="text1"/>
          <w:sz w:val="28"/>
          <w:szCs w:val="28"/>
        </w:rPr>
        <w:t>», МБОУ «СОШ №10», МБОУ «СОШ       № 13». В МБОУ «СОШ № 13» организована деятельность 100-ого филиала Президентской библиотеки.</w:t>
      </w:r>
    </w:p>
    <w:p w:rsidR="000738EF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C359CC">
        <w:rPr>
          <w:bCs/>
          <w:iCs/>
          <w:color w:val="000000" w:themeColor="text1"/>
          <w:sz w:val="28"/>
          <w:szCs w:val="28"/>
        </w:rPr>
        <w:t>В 100% общеобразовательных организаций осуществляется электронное</w:t>
      </w:r>
      <w:r w:rsidRPr="00C359CC">
        <w:rPr>
          <w:color w:val="000000" w:themeColor="text1"/>
          <w:sz w:val="28"/>
          <w:szCs w:val="28"/>
        </w:rPr>
        <w:t xml:space="preserve"> обучение учащихся с применением дистанционных образовательных технологий через образовательные платформы «Цифровая образовательная платформа </w:t>
      </w:r>
      <w:proofErr w:type="spellStart"/>
      <w:r w:rsidRPr="00C359CC">
        <w:rPr>
          <w:color w:val="000000" w:themeColor="text1"/>
          <w:sz w:val="28"/>
          <w:szCs w:val="28"/>
        </w:rPr>
        <w:t>ХМАО-Югры</w:t>
      </w:r>
      <w:proofErr w:type="spellEnd"/>
      <w:r w:rsidRPr="00C359CC">
        <w:rPr>
          <w:color w:val="000000" w:themeColor="text1"/>
          <w:sz w:val="28"/>
          <w:szCs w:val="28"/>
        </w:rPr>
        <w:t>», «</w:t>
      </w:r>
      <w:proofErr w:type="spellStart"/>
      <w:r w:rsidRPr="00C359CC">
        <w:rPr>
          <w:color w:val="000000" w:themeColor="text1"/>
          <w:sz w:val="28"/>
          <w:szCs w:val="28"/>
        </w:rPr>
        <w:t>Учи</w:t>
      </w:r>
      <w:proofErr w:type="gramStart"/>
      <w:r w:rsidRPr="00C359CC">
        <w:rPr>
          <w:color w:val="000000" w:themeColor="text1"/>
          <w:sz w:val="28"/>
          <w:szCs w:val="28"/>
        </w:rPr>
        <w:t>.Р</w:t>
      </w:r>
      <w:proofErr w:type="gramEnd"/>
      <w:r w:rsidRPr="00C359CC">
        <w:rPr>
          <w:color w:val="000000" w:themeColor="text1"/>
          <w:sz w:val="28"/>
          <w:szCs w:val="28"/>
        </w:rPr>
        <w:t>у</w:t>
      </w:r>
      <w:proofErr w:type="spellEnd"/>
      <w:r w:rsidRPr="00C359CC">
        <w:rPr>
          <w:color w:val="000000" w:themeColor="text1"/>
          <w:sz w:val="28"/>
          <w:szCs w:val="28"/>
        </w:rPr>
        <w:t>», «</w:t>
      </w:r>
      <w:proofErr w:type="spellStart"/>
      <w:r w:rsidRPr="00C359CC">
        <w:rPr>
          <w:color w:val="000000" w:themeColor="text1"/>
          <w:sz w:val="28"/>
          <w:szCs w:val="28"/>
        </w:rPr>
        <w:t>ЯКласс</w:t>
      </w:r>
      <w:proofErr w:type="spellEnd"/>
      <w:r w:rsidRPr="00C359CC">
        <w:rPr>
          <w:color w:val="000000" w:themeColor="text1"/>
          <w:sz w:val="28"/>
          <w:szCs w:val="28"/>
        </w:rPr>
        <w:t>», «Российская электронная школа», «Мобильное электронное образование», «Решу ЕГЭ», «Решу ОГЭ» и др.</w:t>
      </w:r>
    </w:p>
    <w:p w:rsidR="000738EF" w:rsidRPr="00C359CC" w:rsidRDefault="00CE077A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C359CC">
        <w:rPr>
          <w:color w:val="000000" w:themeColor="text1"/>
          <w:sz w:val="28"/>
          <w:szCs w:val="28"/>
        </w:rPr>
        <w:t>3 общеобразовательных организации</w:t>
      </w:r>
      <w:r w:rsidR="000738EF" w:rsidRPr="00C359CC">
        <w:rPr>
          <w:color w:val="000000" w:themeColor="text1"/>
          <w:sz w:val="28"/>
          <w:szCs w:val="28"/>
        </w:rPr>
        <w:t xml:space="preserve"> участвуют в реализации </w:t>
      </w:r>
      <w:proofErr w:type="spellStart"/>
      <w:r w:rsidR="000738EF" w:rsidRPr="00C359CC">
        <w:rPr>
          <w:color w:val="000000" w:themeColor="text1"/>
          <w:sz w:val="28"/>
          <w:szCs w:val="28"/>
        </w:rPr>
        <w:t>пилотного</w:t>
      </w:r>
      <w:proofErr w:type="spellEnd"/>
      <w:r w:rsidR="000738EF" w:rsidRPr="00C359CC">
        <w:rPr>
          <w:color w:val="000000" w:themeColor="text1"/>
          <w:sz w:val="28"/>
          <w:szCs w:val="28"/>
        </w:rPr>
        <w:t xml:space="preserve"> проекта «Школьная цифровая платформа» ПАО «Сбербанк» России».</w:t>
      </w:r>
    </w:p>
    <w:p w:rsidR="000738EF" w:rsidRPr="00C359CC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CC671F" w:rsidRPr="00C359CC" w:rsidRDefault="00CC671F" w:rsidP="00CC67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C359CC">
        <w:rPr>
          <w:bCs/>
          <w:i/>
          <w:iCs/>
          <w:sz w:val="28"/>
          <w:szCs w:val="28"/>
        </w:rPr>
        <w:t>Региональный проект «Социальная активность»</w:t>
      </w:r>
    </w:p>
    <w:p w:rsidR="00CC671F" w:rsidRPr="00C359CC" w:rsidRDefault="00CC671F" w:rsidP="00CC67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bCs/>
          <w:iCs/>
          <w:sz w:val="28"/>
          <w:szCs w:val="28"/>
        </w:rPr>
        <w:t xml:space="preserve">Для вовлечения к 2024 году не менее 0,0171 млн. чел. (17 100 чел.) граждан города в деятельность волонтерских и добровольческих объединений, осуществляется работа по развитию добровольческого движения города </w:t>
      </w:r>
      <w:r w:rsidRPr="00C359CC">
        <w:rPr>
          <w:rFonts w:eastAsia="Calibri"/>
          <w:sz w:val="28"/>
          <w:szCs w:val="28"/>
          <w:lang w:eastAsia="en-US"/>
        </w:rPr>
        <w:t xml:space="preserve">(исполнение показателя в настоящее время – 13 924 чел., план 2022 г. – 16 900 чел.). </w:t>
      </w:r>
      <w:r w:rsidRPr="00C359CC">
        <w:rPr>
          <w:bCs/>
          <w:iCs/>
          <w:sz w:val="28"/>
          <w:szCs w:val="28"/>
        </w:rPr>
        <w:t xml:space="preserve"> </w:t>
      </w:r>
    </w:p>
    <w:p w:rsidR="00CC671F" w:rsidRPr="00C359CC" w:rsidRDefault="00CC671F" w:rsidP="00CC67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bCs/>
          <w:iCs/>
          <w:sz w:val="28"/>
          <w:szCs w:val="28"/>
        </w:rPr>
        <w:t>На территории г</w:t>
      </w:r>
      <w:proofErr w:type="gramStart"/>
      <w:r w:rsidRPr="00C359CC">
        <w:rPr>
          <w:bCs/>
          <w:iCs/>
          <w:sz w:val="28"/>
          <w:szCs w:val="28"/>
        </w:rPr>
        <w:t>.Н</w:t>
      </w:r>
      <w:proofErr w:type="gramEnd"/>
      <w:r w:rsidRPr="00C359CC">
        <w:rPr>
          <w:bCs/>
          <w:iCs/>
          <w:sz w:val="28"/>
          <w:szCs w:val="28"/>
        </w:rPr>
        <w:t xml:space="preserve">ефтеюганска организована работа Координационного центра по развитию добровольчества в молодежной среде г. Нефтеюганска, 16 школьных волонтерских площадок, муниципального штаба Всероссийского общественного движения «Волонтеры Победы», городской волонтёрской площадки «Доброе сердце», оперативного Штаба по взаимодействию с добровольцами (волонтерами) готовыми к участию в профилактических мероприятиях и мерах по оказанию помощи гражданам, находящимся в зоне риска (пожилые граждане старше 65 лет). Осуществляется взаимодействие с АНО «Ресурсный добровольческий центр «Сердце </w:t>
      </w:r>
      <w:proofErr w:type="spellStart"/>
      <w:r w:rsidRPr="00C359CC">
        <w:rPr>
          <w:bCs/>
          <w:iCs/>
          <w:sz w:val="28"/>
          <w:szCs w:val="28"/>
        </w:rPr>
        <w:t>Югры</w:t>
      </w:r>
      <w:proofErr w:type="spellEnd"/>
      <w:r w:rsidRPr="00C359CC">
        <w:rPr>
          <w:bCs/>
          <w:iCs/>
          <w:sz w:val="28"/>
          <w:szCs w:val="28"/>
        </w:rPr>
        <w:t xml:space="preserve">». </w:t>
      </w:r>
    </w:p>
    <w:p w:rsidR="00CC671F" w:rsidRPr="00C359CC" w:rsidRDefault="00CC671F" w:rsidP="00CC67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bCs/>
          <w:iCs/>
          <w:sz w:val="28"/>
          <w:szCs w:val="28"/>
        </w:rPr>
        <w:t xml:space="preserve">Реализуется программа для добровольцев «Найди меня» (поиск пропавших людей), проводятся обучающие семинары «Особенные люди». Организовано проведение благотворительных акций «Неделя добра», «Собери ребенка в школу», «Уроки добра», «Подари тепло защитнику Отечества», в том числе мероприятий, направленных на профилактику негативных явлений в молодёжной среде. </w:t>
      </w:r>
    </w:p>
    <w:p w:rsidR="00112452" w:rsidRPr="00C359CC" w:rsidRDefault="00CC671F" w:rsidP="00CC67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bCs/>
          <w:iCs/>
          <w:sz w:val="28"/>
          <w:szCs w:val="28"/>
        </w:rPr>
        <w:t>Планируется участие не менее 13 000 человек молодёжи в мероприятиях и форумах различного уровня</w:t>
      </w:r>
      <w:r w:rsidR="00112452" w:rsidRPr="00C359CC">
        <w:rPr>
          <w:bCs/>
          <w:iCs/>
          <w:sz w:val="28"/>
          <w:szCs w:val="28"/>
        </w:rPr>
        <w:t xml:space="preserve"> (фестиваль молодежных инициатив «Нефтеюганск молодой!», фестиваль молодых семей «Мир в котором я живу», молодежный </w:t>
      </w:r>
      <w:proofErr w:type="spellStart"/>
      <w:r w:rsidR="00112452" w:rsidRPr="00C359CC">
        <w:rPr>
          <w:bCs/>
          <w:iCs/>
          <w:sz w:val="28"/>
          <w:szCs w:val="28"/>
        </w:rPr>
        <w:t>медиа-форум</w:t>
      </w:r>
      <w:proofErr w:type="spellEnd"/>
      <w:r w:rsidR="00112452" w:rsidRPr="00C359CC">
        <w:rPr>
          <w:bCs/>
          <w:iCs/>
          <w:sz w:val="28"/>
          <w:szCs w:val="28"/>
        </w:rPr>
        <w:t xml:space="preserve"> для школьников «Отклик» и др.)</w:t>
      </w:r>
      <w:r w:rsidRPr="00C359CC">
        <w:rPr>
          <w:bCs/>
          <w:iCs/>
          <w:sz w:val="28"/>
          <w:szCs w:val="28"/>
        </w:rPr>
        <w:t xml:space="preserve">, в том числе фестивале работающей молодежи «Стимул». </w:t>
      </w:r>
    </w:p>
    <w:p w:rsidR="00CC671F" w:rsidRPr="00C359CC" w:rsidRDefault="00CC671F" w:rsidP="00CC67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bCs/>
          <w:iCs/>
          <w:sz w:val="28"/>
          <w:szCs w:val="28"/>
        </w:rPr>
        <w:t>Реализуются мероприятия в рамках городского проекта «Здоровое поколение 21 века».</w:t>
      </w:r>
      <w:r w:rsidRPr="00C359CC">
        <w:rPr>
          <w:sz w:val="28"/>
          <w:szCs w:val="28"/>
        </w:rPr>
        <w:t xml:space="preserve"> </w:t>
      </w:r>
      <w:r w:rsidRPr="00C359CC">
        <w:rPr>
          <w:bCs/>
          <w:iCs/>
          <w:sz w:val="28"/>
          <w:szCs w:val="28"/>
        </w:rPr>
        <w:t>Состоялся фестиваль молодых семей «</w:t>
      </w:r>
      <w:proofErr w:type="gramStart"/>
      <w:r w:rsidRPr="00C359CC">
        <w:rPr>
          <w:bCs/>
          <w:iCs/>
          <w:sz w:val="28"/>
          <w:szCs w:val="28"/>
        </w:rPr>
        <w:t>Мир</w:t>
      </w:r>
      <w:proofErr w:type="gramEnd"/>
      <w:r w:rsidRPr="00C359CC">
        <w:rPr>
          <w:bCs/>
          <w:iCs/>
          <w:sz w:val="28"/>
          <w:szCs w:val="28"/>
        </w:rPr>
        <w:t xml:space="preserve"> в котором мы </w:t>
      </w:r>
      <w:r w:rsidRPr="00C359CC">
        <w:rPr>
          <w:bCs/>
          <w:iCs/>
          <w:sz w:val="28"/>
          <w:szCs w:val="28"/>
        </w:rPr>
        <w:lastRenderedPageBreak/>
        <w:t xml:space="preserve">живем». </w:t>
      </w:r>
      <w:r w:rsidRPr="00C359CC">
        <w:rPr>
          <w:sz w:val="28"/>
          <w:szCs w:val="28"/>
        </w:rPr>
        <w:t>Р</w:t>
      </w:r>
      <w:r w:rsidRPr="00C359CC">
        <w:rPr>
          <w:bCs/>
          <w:iCs/>
          <w:sz w:val="28"/>
          <w:szCs w:val="28"/>
        </w:rPr>
        <w:t xml:space="preserve">еализуется план основных мероприятий в рамках проведения «Десятилетия детства». </w:t>
      </w:r>
    </w:p>
    <w:p w:rsidR="00CC671F" w:rsidRPr="00C359CC" w:rsidRDefault="00CC671F" w:rsidP="00CC67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359CC">
        <w:rPr>
          <w:bCs/>
          <w:iCs/>
          <w:sz w:val="28"/>
          <w:szCs w:val="28"/>
        </w:rPr>
        <w:t xml:space="preserve">В МБОУ «Средняя общеобразовательная кадетская школа № 4» реализуются воспитательные практики кадетского образования. На протяжении нескольких лет школа становится победителем </w:t>
      </w:r>
      <w:r w:rsidRPr="00C359CC">
        <w:rPr>
          <w:sz w:val="28"/>
          <w:szCs w:val="28"/>
        </w:rPr>
        <w:t>регионального этапа смотра-конкурса на звание «Лучший казачий кадетский класс Уральского федерального округа», регионального этапа Всероссийской военно-спортивной игры «Казачий Сполох» (2018 г., 2019 г., 2020 г., 2021 г.) и подтверждает эти результаты на всероссийском уровне.</w:t>
      </w:r>
    </w:p>
    <w:p w:rsidR="00CC671F" w:rsidRPr="00C359CC" w:rsidRDefault="00CC671F" w:rsidP="00CC67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359CC">
        <w:rPr>
          <w:rFonts w:eastAsia="Calibri"/>
          <w:color w:val="000000" w:themeColor="text1"/>
          <w:sz w:val="28"/>
          <w:szCs w:val="28"/>
        </w:rPr>
        <w:t xml:space="preserve">Не менее 3100 </w:t>
      </w:r>
      <w:r w:rsidRPr="00C359CC">
        <w:rPr>
          <w:bCs/>
          <w:iCs/>
          <w:sz w:val="28"/>
          <w:szCs w:val="28"/>
        </w:rPr>
        <w:t xml:space="preserve">учащихся </w:t>
      </w:r>
      <w:proofErr w:type="gramStart"/>
      <w:r w:rsidRPr="00C359CC">
        <w:rPr>
          <w:bCs/>
          <w:iCs/>
          <w:sz w:val="28"/>
          <w:szCs w:val="28"/>
        </w:rPr>
        <w:t>вовлечены</w:t>
      </w:r>
      <w:proofErr w:type="gramEnd"/>
      <w:r w:rsidRPr="00C359CC">
        <w:rPr>
          <w:bCs/>
          <w:iCs/>
          <w:sz w:val="28"/>
          <w:szCs w:val="28"/>
        </w:rPr>
        <w:t xml:space="preserve"> в деятельность детских и молодёжных общественных объединений: Российское движение школьников, «Клуб менеджеров «Новая цивилизация» и др., организована деятельность федеральной опорной площадки – МБОУ «СОШ № 5 «Многопрофильная», к участию в движении подключено 100% общеобразовательных организаций города. </w:t>
      </w:r>
    </w:p>
    <w:p w:rsidR="00CC671F" w:rsidRPr="00C359CC" w:rsidRDefault="00CC671F" w:rsidP="00CC67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</w:p>
    <w:p w:rsidR="00CC671F" w:rsidRPr="00C359CC" w:rsidRDefault="00CC671F" w:rsidP="00CC67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C359CC">
        <w:rPr>
          <w:bCs/>
          <w:i/>
          <w:iCs/>
          <w:sz w:val="28"/>
          <w:szCs w:val="28"/>
        </w:rPr>
        <w:t>Региональный проект «Патриотическое воспитание граждан Российской Федерации»</w:t>
      </w:r>
    </w:p>
    <w:p w:rsidR="00CC671F" w:rsidRPr="00C359CC" w:rsidRDefault="00CC671F" w:rsidP="00CC67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вовлечения в социально активную деятельность детей и молодежи через участие в патриотических проектах, а также для развития системы </w:t>
      </w:r>
      <w:proofErr w:type="spellStart"/>
      <w:r w:rsidRPr="00C359CC">
        <w:rPr>
          <w:bCs/>
          <w:iCs/>
          <w:sz w:val="28"/>
          <w:szCs w:val="28"/>
        </w:rPr>
        <w:t>межпоколенческого</w:t>
      </w:r>
      <w:proofErr w:type="spellEnd"/>
      <w:r w:rsidRPr="00C359CC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CC671F" w:rsidRPr="00C359CC" w:rsidRDefault="00CC671F" w:rsidP="00CC67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359CC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C359CC">
        <w:rPr>
          <w:bCs/>
          <w:iCs/>
          <w:sz w:val="28"/>
          <w:szCs w:val="28"/>
        </w:rPr>
        <w:t>Юнармия</w:t>
      </w:r>
      <w:proofErr w:type="spellEnd"/>
      <w:r w:rsidRPr="00C359CC">
        <w:rPr>
          <w:bCs/>
          <w:iCs/>
          <w:sz w:val="28"/>
          <w:szCs w:val="28"/>
        </w:rPr>
        <w:t>» на базе МБУ ДО «ДДТ»</w:t>
      </w:r>
      <w:r w:rsidRPr="00C359CC">
        <w:rPr>
          <w:color w:val="000000" w:themeColor="text1"/>
          <w:sz w:val="28"/>
          <w:szCs w:val="28"/>
        </w:rPr>
        <w:t xml:space="preserve">, в которое принято 727 человек детей и молодежи. </w:t>
      </w:r>
      <w:r w:rsidRPr="00C359CC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CC671F" w:rsidRPr="00C359CC" w:rsidRDefault="00CC671F" w:rsidP="00CC67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bCs/>
          <w:iCs/>
          <w:sz w:val="28"/>
          <w:szCs w:val="28"/>
        </w:rPr>
        <w:t xml:space="preserve">В 100% общеобразовательных организаций внедрены рабочие программы воспитания обучающихся.  </w:t>
      </w:r>
    </w:p>
    <w:p w:rsidR="00CC671F" w:rsidRPr="00C359CC" w:rsidRDefault="00CC671F" w:rsidP="00CC67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359CC">
        <w:rPr>
          <w:bCs/>
          <w:iCs/>
          <w:sz w:val="28"/>
          <w:szCs w:val="28"/>
        </w:rPr>
        <w:t>Осуществляется 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деятельность, а также мероприятий по противодействию распространению деструктивной идеологии.</w:t>
      </w:r>
    </w:p>
    <w:p w:rsidR="00CC671F" w:rsidRPr="00C359CC" w:rsidRDefault="00CC671F" w:rsidP="00CC67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C359CC">
        <w:rPr>
          <w:bCs/>
          <w:iCs/>
          <w:sz w:val="28"/>
          <w:szCs w:val="28"/>
        </w:rPr>
        <w:t>Организовано участие обучающихся в городских мероприятиях, Всероссийских проектах и акциях: мероприятия</w:t>
      </w:r>
      <w:r w:rsidRPr="00C359CC">
        <w:rPr>
          <w:sz w:val="28"/>
          <w:szCs w:val="28"/>
        </w:rPr>
        <w:t xml:space="preserve">, посвящённые Дню Защитника Отечества; муниципальный смотр строя и песни среди обучающихся образовательных организаций города; проект </w:t>
      </w:r>
      <w:r w:rsidRPr="00C359CC">
        <w:rPr>
          <w:bCs/>
          <w:iCs/>
          <w:sz w:val="28"/>
          <w:szCs w:val="28"/>
        </w:rPr>
        <w:t xml:space="preserve">«Без срока давности»; акция «Блокадный хлеб»; </w:t>
      </w:r>
      <w:proofErr w:type="spellStart"/>
      <w:r w:rsidRPr="00C359CC">
        <w:rPr>
          <w:bCs/>
          <w:iCs/>
          <w:sz w:val="28"/>
          <w:szCs w:val="28"/>
        </w:rPr>
        <w:t>квест</w:t>
      </w:r>
      <w:proofErr w:type="spellEnd"/>
      <w:r w:rsidRPr="00C359CC">
        <w:rPr>
          <w:bCs/>
          <w:iCs/>
          <w:sz w:val="28"/>
          <w:szCs w:val="28"/>
        </w:rPr>
        <w:t xml:space="preserve"> «Сталинградская битва»;</w:t>
      </w:r>
      <w:r w:rsidRPr="00C359CC">
        <w:rPr>
          <w:sz w:val="28"/>
          <w:szCs w:val="28"/>
        </w:rPr>
        <w:t xml:space="preserve"> </w:t>
      </w:r>
      <w:r w:rsidRPr="00C359CC">
        <w:rPr>
          <w:bCs/>
          <w:iCs/>
          <w:sz w:val="28"/>
          <w:szCs w:val="28"/>
        </w:rPr>
        <w:t xml:space="preserve">акции «Посылка солдату»; «Бессмертный полк», «Свеча памяти», «Мы граждане России», «Знай свою страну» и др. </w:t>
      </w:r>
      <w:proofErr w:type="gramEnd"/>
    </w:p>
    <w:p w:rsidR="0009035E" w:rsidRPr="00C359CC" w:rsidRDefault="0009035E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09035E" w:rsidRPr="00C359CC" w:rsidRDefault="0009035E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  <w:sectPr w:rsidR="0009035E" w:rsidRPr="00C359CC" w:rsidSect="00032DA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9035E" w:rsidRPr="00C359CC" w:rsidRDefault="0009035E" w:rsidP="0009035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  <w:r w:rsidRPr="00C359CC">
        <w:rPr>
          <w:sz w:val="28"/>
          <w:szCs w:val="28"/>
        </w:rPr>
        <w:lastRenderedPageBreak/>
        <w:t xml:space="preserve">Информация о реализации показателей национального проекта «Образование» за </w:t>
      </w:r>
      <w:r w:rsidR="00323185" w:rsidRPr="00C359CC">
        <w:rPr>
          <w:sz w:val="28"/>
          <w:szCs w:val="28"/>
        </w:rPr>
        <w:t>третий</w:t>
      </w:r>
      <w:r w:rsidRPr="00C359CC">
        <w:rPr>
          <w:sz w:val="28"/>
          <w:szCs w:val="28"/>
        </w:rPr>
        <w:t xml:space="preserve"> квартал 2022 года</w:t>
      </w:r>
    </w:p>
    <w:p w:rsidR="0009035E" w:rsidRPr="00C359CC" w:rsidRDefault="0009035E" w:rsidP="0009035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09035E" w:rsidRPr="00C359CC" w:rsidRDefault="0009035E" w:rsidP="0009035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359CC">
        <w:rPr>
          <w:rFonts w:eastAsia="Calibri"/>
          <w:sz w:val="28"/>
          <w:szCs w:val="28"/>
          <w:lang w:eastAsia="en-US"/>
        </w:rPr>
        <w:t>В соответствии с Соглашениями о реализации региональных проектов на территории города Нефтеюганска определены показатели с распределением</w:t>
      </w:r>
      <w:proofErr w:type="gramEnd"/>
      <w:r w:rsidRPr="00C359CC"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09035E" w:rsidRPr="00C359CC" w:rsidRDefault="0009035E" w:rsidP="0009035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359CC">
        <w:rPr>
          <w:rFonts w:eastAsia="Calibri"/>
          <w:sz w:val="28"/>
          <w:szCs w:val="28"/>
          <w:lang w:eastAsia="en-US"/>
        </w:rPr>
        <w:t>В</w:t>
      </w:r>
      <w:r w:rsidR="00323185" w:rsidRPr="00C359CC">
        <w:rPr>
          <w:rFonts w:eastAsia="Calibri"/>
          <w:sz w:val="28"/>
          <w:szCs w:val="28"/>
          <w:lang w:eastAsia="en-US"/>
        </w:rPr>
        <w:t xml:space="preserve"> третьем</w:t>
      </w:r>
      <w:r w:rsidRPr="00C359CC">
        <w:rPr>
          <w:rFonts w:eastAsia="Calibri"/>
          <w:sz w:val="28"/>
          <w:szCs w:val="28"/>
          <w:lang w:eastAsia="en-US"/>
        </w:rPr>
        <w:t xml:space="preserve"> квартале 2022 год</w:t>
      </w:r>
      <w:r w:rsidR="00323185" w:rsidRPr="00C359CC">
        <w:rPr>
          <w:rFonts w:eastAsia="Calibri"/>
          <w:sz w:val="28"/>
          <w:szCs w:val="28"/>
          <w:lang w:eastAsia="en-US"/>
        </w:rPr>
        <w:t>а</w:t>
      </w:r>
      <w:r w:rsidRPr="00C359CC">
        <w:rPr>
          <w:rFonts w:eastAsia="Calibri"/>
          <w:sz w:val="28"/>
          <w:szCs w:val="28"/>
          <w:lang w:eastAsia="en-US"/>
        </w:rPr>
        <w:t xml:space="preserve"> обеспечено исполнение показателей: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4925"/>
        <w:gridCol w:w="1560"/>
        <w:gridCol w:w="1701"/>
        <w:gridCol w:w="6378"/>
      </w:tblGrid>
      <w:tr w:rsidR="0009035E" w:rsidRPr="00C359CC" w:rsidTr="00DC53A7">
        <w:trPr>
          <w:trHeight w:val="375"/>
        </w:trPr>
        <w:tc>
          <w:tcPr>
            <w:tcW w:w="760" w:type="dxa"/>
            <w:vMerge w:val="restart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C359CC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359CC">
              <w:rPr>
                <w:bCs/>
                <w:color w:val="000000"/>
              </w:rPr>
              <w:t>п</w:t>
            </w:r>
            <w:proofErr w:type="spellEnd"/>
            <w:proofErr w:type="gramEnd"/>
            <w:r w:rsidRPr="00C359CC">
              <w:rPr>
                <w:bCs/>
                <w:color w:val="000000"/>
              </w:rPr>
              <w:t>/</w:t>
            </w:r>
            <w:proofErr w:type="spellStart"/>
            <w:r w:rsidRPr="00C359CC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4925" w:type="dxa"/>
            <w:vMerge w:val="restart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  <w:rPr>
                <w:bCs/>
                <w:color w:val="000000"/>
              </w:rPr>
            </w:pPr>
            <w:r w:rsidRPr="00C359CC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C359CC">
              <w:rPr>
                <w:bCs/>
                <w:color w:val="000000"/>
              </w:rPr>
              <w:t xml:space="preserve">Значение показателя </w:t>
            </w:r>
          </w:p>
          <w:p w:rsidR="0009035E" w:rsidRPr="00C359CC" w:rsidRDefault="0009035E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C359CC">
              <w:rPr>
                <w:bCs/>
                <w:color w:val="000000"/>
              </w:rPr>
              <w:t>на 2022 год</w:t>
            </w:r>
          </w:p>
        </w:tc>
        <w:tc>
          <w:tcPr>
            <w:tcW w:w="6378" w:type="dxa"/>
            <w:vMerge w:val="restart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C359CC">
              <w:rPr>
                <w:bCs/>
                <w:color w:val="000000"/>
              </w:rPr>
              <w:t>Примечание</w:t>
            </w:r>
          </w:p>
        </w:tc>
      </w:tr>
      <w:tr w:rsidR="0009035E" w:rsidRPr="00C359CC" w:rsidTr="00DC53A7">
        <w:trPr>
          <w:trHeight w:val="420"/>
        </w:trPr>
        <w:tc>
          <w:tcPr>
            <w:tcW w:w="760" w:type="dxa"/>
            <w:vMerge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09035E" w:rsidRPr="00C359CC" w:rsidRDefault="0009035E" w:rsidP="00DC53A7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C359CC">
              <w:rPr>
                <w:bCs/>
                <w:color w:val="000000"/>
              </w:rPr>
              <w:t>план</w:t>
            </w:r>
          </w:p>
        </w:tc>
        <w:tc>
          <w:tcPr>
            <w:tcW w:w="1701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C359CC">
              <w:rPr>
                <w:bCs/>
                <w:color w:val="000000"/>
              </w:rPr>
              <w:t>факт</w:t>
            </w:r>
          </w:p>
          <w:p w:rsidR="0009035E" w:rsidRPr="00C359CC" w:rsidRDefault="00323185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C359CC">
              <w:rPr>
                <w:bCs/>
                <w:color w:val="000000"/>
              </w:rPr>
              <w:t>3</w:t>
            </w:r>
            <w:r w:rsidR="0009035E" w:rsidRPr="00C359CC">
              <w:rPr>
                <w:bCs/>
                <w:color w:val="000000"/>
              </w:rPr>
              <w:t xml:space="preserve"> квартал</w:t>
            </w:r>
          </w:p>
        </w:tc>
        <w:tc>
          <w:tcPr>
            <w:tcW w:w="6378" w:type="dxa"/>
            <w:vMerge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09035E" w:rsidRPr="00C359CC" w:rsidTr="00DC53A7">
        <w:trPr>
          <w:trHeight w:val="420"/>
        </w:trPr>
        <w:tc>
          <w:tcPr>
            <w:tcW w:w="760" w:type="dxa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C359CC">
              <w:rPr>
                <w:bCs/>
                <w:i/>
                <w:color w:val="000000"/>
              </w:rPr>
              <w:t>1.</w:t>
            </w:r>
          </w:p>
        </w:tc>
        <w:tc>
          <w:tcPr>
            <w:tcW w:w="14564" w:type="dxa"/>
            <w:gridSpan w:val="4"/>
            <w:hideMark/>
          </w:tcPr>
          <w:p w:rsidR="0009035E" w:rsidRPr="00C359CC" w:rsidRDefault="0009035E" w:rsidP="00DC53A7">
            <w:pPr>
              <w:widowControl w:val="0"/>
              <w:rPr>
                <w:bCs/>
                <w:i/>
                <w:color w:val="000000"/>
              </w:rPr>
            </w:pPr>
            <w:r w:rsidRPr="00C359CC"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09035E" w:rsidRPr="00C359CC" w:rsidTr="00DC53A7">
        <w:trPr>
          <w:trHeight w:val="675"/>
        </w:trPr>
        <w:tc>
          <w:tcPr>
            <w:tcW w:w="7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color w:val="000000"/>
              </w:rPr>
            </w:pPr>
            <w:r w:rsidRPr="00C359CC">
              <w:rPr>
                <w:color w:val="000000"/>
              </w:rPr>
              <w:t>1.1.</w:t>
            </w:r>
          </w:p>
        </w:tc>
        <w:tc>
          <w:tcPr>
            <w:tcW w:w="4925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</w:pPr>
            <w:r w:rsidRPr="00C359CC"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0,68</w:t>
            </w:r>
          </w:p>
        </w:tc>
        <w:tc>
          <w:tcPr>
            <w:tcW w:w="1701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1,</w:t>
            </w:r>
            <w:r w:rsidR="00E540BE" w:rsidRPr="00C359CC">
              <w:t>5</w:t>
            </w:r>
          </w:p>
        </w:tc>
        <w:tc>
          <w:tcPr>
            <w:tcW w:w="6378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  <w:rPr>
                <w:color w:val="000000"/>
              </w:rPr>
            </w:pPr>
            <w:r w:rsidRPr="00C359CC">
              <w:rPr>
                <w:color w:val="000000"/>
              </w:rPr>
              <w:t>-</w:t>
            </w:r>
          </w:p>
        </w:tc>
      </w:tr>
      <w:tr w:rsidR="0009035E" w:rsidRPr="00C359CC" w:rsidTr="00DC53A7">
        <w:trPr>
          <w:trHeight w:val="1322"/>
        </w:trPr>
        <w:tc>
          <w:tcPr>
            <w:tcW w:w="7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color w:val="000000"/>
              </w:rPr>
            </w:pPr>
            <w:r w:rsidRPr="00C359CC">
              <w:rPr>
                <w:color w:val="000000"/>
              </w:rPr>
              <w:t>1.2.</w:t>
            </w:r>
          </w:p>
        </w:tc>
        <w:tc>
          <w:tcPr>
            <w:tcW w:w="4925" w:type="dxa"/>
            <w:shd w:val="clear" w:color="000000" w:fill="FFFFFF"/>
            <w:hideMark/>
          </w:tcPr>
          <w:p w:rsidR="0009035E" w:rsidRPr="00C359CC" w:rsidRDefault="0009035E" w:rsidP="00DC53A7">
            <w:pPr>
              <w:widowControl w:val="0"/>
              <w:jc w:val="both"/>
            </w:pPr>
            <w:r w:rsidRPr="00C359CC"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C359CC">
              <w:t>Кванториум</w:t>
            </w:r>
            <w:proofErr w:type="spellEnd"/>
            <w:r w:rsidRPr="00C359CC">
              <w:t>» и центров «</w:t>
            </w:r>
            <w:proofErr w:type="spellStart"/>
            <w:proofErr w:type="gramStart"/>
            <w:r w:rsidRPr="00C359CC">
              <w:t>I</w:t>
            </w:r>
            <w:proofErr w:type="gramEnd"/>
            <w:r w:rsidRPr="00C359CC">
              <w:t>Т-куб</w:t>
            </w:r>
            <w:proofErr w:type="spellEnd"/>
            <w:r w:rsidRPr="00C359CC">
              <w:t>», процент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35,6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09035E" w:rsidRPr="00C359CC" w:rsidRDefault="0009035E" w:rsidP="00E540BE">
            <w:pPr>
              <w:widowControl w:val="0"/>
              <w:jc w:val="center"/>
            </w:pPr>
            <w:r w:rsidRPr="00C359CC">
              <w:t>2</w:t>
            </w:r>
            <w:r w:rsidR="00E540BE" w:rsidRPr="00C359CC">
              <w:t>4</w:t>
            </w:r>
            <w:r w:rsidRPr="00C359CC">
              <w:t>,</w:t>
            </w:r>
            <w:r w:rsidR="00E540BE" w:rsidRPr="00C359CC">
              <w:t>7</w:t>
            </w:r>
          </w:p>
        </w:tc>
        <w:tc>
          <w:tcPr>
            <w:tcW w:w="6378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  <w:rPr>
                <w:color w:val="000000"/>
              </w:rPr>
            </w:pPr>
            <w:r w:rsidRPr="00C359CC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09035E" w:rsidRPr="00C359CC" w:rsidRDefault="0009035E" w:rsidP="00DC53A7">
            <w:pPr>
              <w:widowControl w:val="0"/>
              <w:jc w:val="both"/>
              <w:rPr>
                <w:color w:val="000000"/>
              </w:rPr>
            </w:pPr>
            <w:r w:rsidRPr="00C359CC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09035E" w:rsidRPr="00C359CC" w:rsidTr="00DC53A7">
        <w:trPr>
          <w:trHeight w:val="1260"/>
        </w:trPr>
        <w:tc>
          <w:tcPr>
            <w:tcW w:w="7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color w:val="000000"/>
              </w:rPr>
            </w:pPr>
            <w:r w:rsidRPr="00C359CC">
              <w:rPr>
                <w:color w:val="000000"/>
              </w:rPr>
              <w:t>1.3.</w:t>
            </w:r>
          </w:p>
        </w:tc>
        <w:tc>
          <w:tcPr>
            <w:tcW w:w="4925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</w:pPr>
            <w:proofErr w:type="gramStart"/>
            <w:r w:rsidRPr="00C359CC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процент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30</w:t>
            </w:r>
          </w:p>
        </w:tc>
        <w:tc>
          <w:tcPr>
            <w:tcW w:w="1701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1</w:t>
            </w:r>
            <w:r w:rsidR="00E540BE" w:rsidRPr="00C359CC">
              <w:t>6</w:t>
            </w:r>
          </w:p>
        </w:tc>
        <w:tc>
          <w:tcPr>
            <w:tcW w:w="6378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  <w:rPr>
                <w:color w:val="000000"/>
              </w:rPr>
            </w:pPr>
            <w:r w:rsidRPr="00C359CC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09035E" w:rsidRPr="00C359CC" w:rsidRDefault="0009035E" w:rsidP="00DC53A7">
            <w:pPr>
              <w:widowControl w:val="0"/>
              <w:jc w:val="both"/>
              <w:rPr>
                <w:color w:val="000000"/>
              </w:rPr>
            </w:pPr>
            <w:r w:rsidRPr="00C359CC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09035E" w:rsidRPr="00C359CC" w:rsidTr="00DC53A7">
        <w:trPr>
          <w:trHeight w:val="1260"/>
        </w:trPr>
        <w:tc>
          <w:tcPr>
            <w:tcW w:w="7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color w:val="000000"/>
              </w:rPr>
            </w:pPr>
            <w:r w:rsidRPr="00C359CC">
              <w:rPr>
                <w:color w:val="000000"/>
              </w:rPr>
              <w:lastRenderedPageBreak/>
              <w:t>1.4.</w:t>
            </w:r>
          </w:p>
        </w:tc>
        <w:tc>
          <w:tcPr>
            <w:tcW w:w="4925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</w:pPr>
            <w:r w:rsidRPr="00C359CC">
              <w:t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детей, единица</w:t>
            </w:r>
          </w:p>
        </w:tc>
        <w:tc>
          <w:tcPr>
            <w:tcW w:w="15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1</w:t>
            </w:r>
          </w:p>
        </w:tc>
        <w:tc>
          <w:tcPr>
            <w:tcW w:w="6378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  <w:rPr>
                <w:color w:val="000000"/>
              </w:rPr>
            </w:pPr>
            <w:r w:rsidRPr="00C359CC">
              <w:rPr>
                <w:color w:val="000000"/>
              </w:rPr>
              <w:t>-</w:t>
            </w:r>
          </w:p>
        </w:tc>
      </w:tr>
      <w:tr w:rsidR="0009035E" w:rsidRPr="00C359CC" w:rsidTr="00DC53A7">
        <w:trPr>
          <w:trHeight w:val="717"/>
        </w:trPr>
        <w:tc>
          <w:tcPr>
            <w:tcW w:w="7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color w:val="000000"/>
              </w:rPr>
            </w:pPr>
            <w:r w:rsidRPr="00C359CC">
              <w:rPr>
                <w:color w:val="000000"/>
              </w:rPr>
              <w:t>1.5.</w:t>
            </w:r>
          </w:p>
        </w:tc>
        <w:tc>
          <w:tcPr>
            <w:tcW w:w="4925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</w:pPr>
            <w:r w:rsidRPr="00C359CC"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86,9</w:t>
            </w:r>
          </w:p>
        </w:tc>
        <w:tc>
          <w:tcPr>
            <w:tcW w:w="1701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86,</w:t>
            </w:r>
            <w:r w:rsidR="00375926" w:rsidRPr="00C359CC">
              <w:t>7</w:t>
            </w:r>
          </w:p>
        </w:tc>
        <w:tc>
          <w:tcPr>
            <w:tcW w:w="6378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  <w:rPr>
                <w:color w:val="000000"/>
              </w:rPr>
            </w:pPr>
            <w:r w:rsidRPr="00C359CC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09035E" w:rsidRPr="00C359CC" w:rsidTr="00DC53A7">
        <w:trPr>
          <w:trHeight w:val="414"/>
        </w:trPr>
        <w:tc>
          <w:tcPr>
            <w:tcW w:w="7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color w:val="000000"/>
              </w:rPr>
            </w:pPr>
            <w:r w:rsidRPr="00C359CC">
              <w:rPr>
                <w:color w:val="000000"/>
              </w:rPr>
              <w:t>1.6.</w:t>
            </w:r>
          </w:p>
        </w:tc>
        <w:tc>
          <w:tcPr>
            <w:tcW w:w="4925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</w:pPr>
            <w:r w:rsidRPr="00C359CC"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86,66</w:t>
            </w:r>
          </w:p>
        </w:tc>
        <w:tc>
          <w:tcPr>
            <w:tcW w:w="1701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86,66</w:t>
            </w:r>
          </w:p>
        </w:tc>
        <w:tc>
          <w:tcPr>
            <w:tcW w:w="6378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  <w:rPr>
                <w:color w:val="000000"/>
              </w:rPr>
            </w:pPr>
            <w:r w:rsidRPr="00C359CC">
              <w:rPr>
                <w:color w:val="000000"/>
              </w:rPr>
              <w:t>-</w:t>
            </w:r>
          </w:p>
        </w:tc>
      </w:tr>
      <w:tr w:rsidR="0009035E" w:rsidRPr="00C359CC" w:rsidTr="00DC53A7">
        <w:trPr>
          <w:trHeight w:val="414"/>
        </w:trPr>
        <w:tc>
          <w:tcPr>
            <w:tcW w:w="7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color w:val="000000"/>
              </w:rPr>
            </w:pPr>
            <w:r w:rsidRPr="00C359CC">
              <w:rPr>
                <w:color w:val="000000"/>
              </w:rPr>
              <w:t>1.7.</w:t>
            </w:r>
          </w:p>
        </w:tc>
        <w:tc>
          <w:tcPr>
            <w:tcW w:w="4925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</w:pPr>
            <w:proofErr w:type="gramStart"/>
            <w:r w:rsidRPr="00C359CC"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процент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0</w:t>
            </w:r>
          </w:p>
        </w:tc>
        <w:tc>
          <w:tcPr>
            <w:tcW w:w="6378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  <w:rPr>
                <w:color w:val="000000"/>
              </w:rPr>
            </w:pPr>
            <w:r w:rsidRPr="00C359CC">
              <w:rPr>
                <w:color w:val="000000"/>
              </w:rPr>
              <w:t xml:space="preserve">Показатель будет исполнен после введения в действие </w:t>
            </w:r>
            <w:r w:rsidRPr="00C359CC">
              <w:t>федеральной информационно-сервисной платформы цифровой образовательной среды</w:t>
            </w:r>
            <w:r w:rsidR="00375926" w:rsidRPr="00C359CC">
              <w:t xml:space="preserve"> в четвёртом</w:t>
            </w:r>
            <w:r w:rsidRPr="00C359CC">
              <w:t xml:space="preserve"> квартале 2022 года</w:t>
            </w:r>
          </w:p>
        </w:tc>
      </w:tr>
      <w:tr w:rsidR="0009035E" w:rsidRPr="00C359CC" w:rsidTr="00DC53A7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color w:val="000000"/>
              </w:rPr>
            </w:pPr>
            <w:r w:rsidRPr="00C359CC">
              <w:rPr>
                <w:color w:val="000000"/>
              </w:rPr>
              <w:t>1.8.</w:t>
            </w:r>
          </w:p>
        </w:tc>
        <w:tc>
          <w:tcPr>
            <w:tcW w:w="4925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</w:pPr>
            <w:r w:rsidRPr="00C359CC">
              <w:t>Доля педагогических работников, использующих сервисы федеральной информационно-сервисной платформы цифровой образовательной среды,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0</w:t>
            </w:r>
          </w:p>
        </w:tc>
        <w:tc>
          <w:tcPr>
            <w:tcW w:w="6378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  <w:rPr>
                <w:color w:val="000000"/>
              </w:rPr>
            </w:pPr>
            <w:r w:rsidRPr="00C359CC">
              <w:rPr>
                <w:color w:val="000000"/>
              </w:rPr>
              <w:t xml:space="preserve">Показатель будет исполнен после введения в действие </w:t>
            </w:r>
            <w:r w:rsidRPr="00C359CC">
              <w:t xml:space="preserve">федеральной информационно-сервисной платформы цифровой образовательной среды </w:t>
            </w:r>
            <w:r w:rsidR="00375926" w:rsidRPr="00C359CC">
              <w:t xml:space="preserve">в четвёртом </w:t>
            </w:r>
            <w:r w:rsidRPr="00C359CC">
              <w:t>квартале 2022 года</w:t>
            </w:r>
          </w:p>
        </w:tc>
      </w:tr>
      <w:tr w:rsidR="0009035E" w:rsidRPr="00C359CC" w:rsidTr="00DC53A7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color w:val="000000"/>
              </w:rPr>
            </w:pPr>
            <w:r w:rsidRPr="00C359CC">
              <w:rPr>
                <w:color w:val="000000"/>
              </w:rPr>
              <w:t>1.9.</w:t>
            </w:r>
          </w:p>
        </w:tc>
        <w:tc>
          <w:tcPr>
            <w:tcW w:w="4925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</w:pPr>
            <w:r w:rsidRPr="00C359CC"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0</w:t>
            </w:r>
          </w:p>
        </w:tc>
        <w:tc>
          <w:tcPr>
            <w:tcW w:w="6378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  <w:rPr>
                <w:color w:val="000000"/>
              </w:rPr>
            </w:pPr>
            <w:r w:rsidRPr="00C359CC">
              <w:rPr>
                <w:color w:val="000000"/>
              </w:rPr>
              <w:t xml:space="preserve">Показатель будет исполнен после введения в действие </w:t>
            </w:r>
            <w:r w:rsidRPr="00C359CC">
              <w:t xml:space="preserve">федеральной информационно-сервисной платформы цифровой образовательной среды </w:t>
            </w:r>
            <w:r w:rsidR="00375926" w:rsidRPr="00C359CC">
              <w:t xml:space="preserve">в четвёртом </w:t>
            </w:r>
            <w:r w:rsidRPr="00C359CC">
              <w:t>квартале 2022 года</w:t>
            </w:r>
          </w:p>
        </w:tc>
      </w:tr>
      <w:tr w:rsidR="0009035E" w:rsidRPr="00C359CC" w:rsidTr="00DC53A7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color w:val="000000"/>
              </w:rPr>
            </w:pPr>
            <w:r w:rsidRPr="00C359CC">
              <w:rPr>
                <w:color w:val="000000"/>
              </w:rPr>
              <w:t>1.10.</w:t>
            </w:r>
          </w:p>
        </w:tc>
        <w:tc>
          <w:tcPr>
            <w:tcW w:w="4925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</w:pPr>
            <w:proofErr w:type="gramStart"/>
            <w:r w:rsidRPr="00C359CC"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C359CC">
              <w:t>волонтерства</w:t>
            </w:r>
            <w:proofErr w:type="spellEnd"/>
            <w:r w:rsidRPr="00C359CC">
              <w:t xml:space="preserve">) на базе образовательных организаций, </w:t>
            </w:r>
            <w:r w:rsidRPr="00C359CC">
              <w:lastRenderedPageBreak/>
              <w:t>некоммерческих организаций, государственных и муниципальных учреждений, в добровольческую (волонтерскую) деятельность, млн. человек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lastRenderedPageBreak/>
              <w:t>0,0169</w:t>
            </w:r>
          </w:p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(16 900 человек)</w:t>
            </w:r>
          </w:p>
        </w:tc>
        <w:tc>
          <w:tcPr>
            <w:tcW w:w="1701" w:type="dxa"/>
            <w:shd w:val="clear" w:color="auto" w:fill="auto"/>
            <w:hideMark/>
          </w:tcPr>
          <w:p w:rsidR="0009035E" w:rsidRPr="00C359CC" w:rsidRDefault="00112452" w:rsidP="00DC53A7">
            <w:pPr>
              <w:widowControl w:val="0"/>
              <w:jc w:val="center"/>
            </w:pPr>
            <w:r w:rsidRPr="00C359CC">
              <w:t>0,0140</w:t>
            </w:r>
          </w:p>
          <w:p w:rsidR="0009035E" w:rsidRPr="00C359CC" w:rsidRDefault="0009035E" w:rsidP="00112452">
            <w:pPr>
              <w:widowControl w:val="0"/>
              <w:jc w:val="center"/>
            </w:pPr>
            <w:r w:rsidRPr="00C359CC">
              <w:t>(</w:t>
            </w:r>
            <w:r w:rsidR="00112452" w:rsidRPr="00C359CC">
              <w:t>13 924</w:t>
            </w:r>
            <w:r w:rsidRPr="00C359CC">
              <w:t xml:space="preserve"> человек)</w:t>
            </w:r>
          </w:p>
        </w:tc>
        <w:tc>
          <w:tcPr>
            <w:tcW w:w="6378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  <w:rPr>
                <w:color w:val="000000"/>
              </w:rPr>
            </w:pPr>
            <w:r w:rsidRPr="00C359CC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09035E" w:rsidRPr="00C359CC" w:rsidRDefault="0009035E" w:rsidP="00DC53A7">
            <w:pPr>
              <w:widowControl w:val="0"/>
              <w:jc w:val="both"/>
              <w:rPr>
                <w:color w:val="000000"/>
              </w:rPr>
            </w:pPr>
            <w:r w:rsidRPr="00C359CC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09035E" w:rsidRPr="00C359CC" w:rsidTr="00DC53A7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color w:val="000000"/>
              </w:rPr>
            </w:pPr>
            <w:r w:rsidRPr="00C359CC">
              <w:rPr>
                <w:color w:val="000000"/>
              </w:rPr>
              <w:lastRenderedPageBreak/>
              <w:t>1.11.</w:t>
            </w:r>
          </w:p>
        </w:tc>
        <w:tc>
          <w:tcPr>
            <w:tcW w:w="4925" w:type="dxa"/>
            <w:shd w:val="clear" w:color="auto" w:fill="auto"/>
            <w:hideMark/>
          </w:tcPr>
          <w:p w:rsidR="0009035E" w:rsidRPr="00C359CC" w:rsidRDefault="0009035E" w:rsidP="00DC53A7">
            <w:pPr>
              <w:autoSpaceDE w:val="0"/>
              <w:autoSpaceDN w:val="0"/>
              <w:adjustRightInd w:val="0"/>
              <w:jc w:val="both"/>
            </w:pPr>
            <w:r w:rsidRPr="00C359CC"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5,4</w:t>
            </w:r>
          </w:p>
        </w:tc>
        <w:tc>
          <w:tcPr>
            <w:tcW w:w="1701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100</w:t>
            </w:r>
          </w:p>
        </w:tc>
        <w:tc>
          <w:tcPr>
            <w:tcW w:w="6378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  <w:rPr>
                <w:color w:val="000000"/>
              </w:rPr>
            </w:pPr>
            <w:r w:rsidRPr="00C359CC">
              <w:rPr>
                <w:color w:val="000000"/>
              </w:rPr>
              <w:t>-</w:t>
            </w:r>
          </w:p>
        </w:tc>
      </w:tr>
      <w:tr w:rsidR="0009035E" w:rsidRPr="00C359CC" w:rsidTr="00DC53A7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color w:val="000000"/>
              </w:rPr>
            </w:pPr>
            <w:r w:rsidRPr="00C359CC">
              <w:rPr>
                <w:color w:val="000000"/>
              </w:rPr>
              <w:t>1.12.</w:t>
            </w:r>
          </w:p>
        </w:tc>
        <w:tc>
          <w:tcPr>
            <w:tcW w:w="4925" w:type="dxa"/>
            <w:shd w:val="clear" w:color="auto" w:fill="auto"/>
            <w:hideMark/>
          </w:tcPr>
          <w:p w:rsidR="0009035E" w:rsidRPr="00C359CC" w:rsidRDefault="0009035E" w:rsidP="00DC53A7">
            <w:pPr>
              <w:autoSpaceDE w:val="0"/>
              <w:autoSpaceDN w:val="0"/>
              <w:adjustRightInd w:val="0"/>
              <w:jc w:val="both"/>
            </w:pPr>
            <w:r w:rsidRPr="00C359CC"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тыс. человек</w:t>
            </w:r>
          </w:p>
        </w:tc>
        <w:tc>
          <w:tcPr>
            <w:tcW w:w="15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 xml:space="preserve">7,748 </w:t>
            </w:r>
          </w:p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(7 748 человек)</w:t>
            </w:r>
          </w:p>
        </w:tc>
        <w:tc>
          <w:tcPr>
            <w:tcW w:w="1701" w:type="dxa"/>
            <w:shd w:val="clear" w:color="auto" w:fill="auto"/>
            <w:hideMark/>
          </w:tcPr>
          <w:p w:rsidR="0009035E" w:rsidRPr="00C359CC" w:rsidRDefault="00CC671F" w:rsidP="00DC53A7">
            <w:pPr>
              <w:widowControl w:val="0"/>
              <w:jc w:val="center"/>
            </w:pPr>
            <w:r w:rsidRPr="00C359CC">
              <w:t>5</w:t>
            </w:r>
            <w:r w:rsidR="0009035E" w:rsidRPr="00C359CC">
              <w:t>,0</w:t>
            </w:r>
          </w:p>
          <w:p w:rsidR="0009035E" w:rsidRPr="00C359CC" w:rsidRDefault="00CC671F" w:rsidP="00DC53A7">
            <w:pPr>
              <w:widowControl w:val="0"/>
              <w:jc w:val="center"/>
            </w:pPr>
            <w:proofErr w:type="gramStart"/>
            <w:r w:rsidRPr="00C359CC">
              <w:t>(5</w:t>
            </w:r>
            <w:r w:rsidR="006911B5" w:rsidRPr="00C359CC">
              <w:t xml:space="preserve"> </w:t>
            </w:r>
            <w:r w:rsidR="0009035E" w:rsidRPr="00C359CC">
              <w:t>0</w:t>
            </w:r>
            <w:r w:rsidRPr="00C359CC">
              <w:t>00</w:t>
            </w:r>
            <w:r w:rsidR="0009035E" w:rsidRPr="00C359CC">
              <w:t xml:space="preserve"> </w:t>
            </w:r>
            <w:proofErr w:type="gramEnd"/>
          </w:p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 xml:space="preserve">человек) </w:t>
            </w:r>
          </w:p>
        </w:tc>
        <w:tc>
          <w:tcPr>
            <w:tcW w:w="6378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  <w:rPr>
                <w:color w:val="000000"/>
              </w:rPr>
            </w:pPr>
            <w:r w:rsidRPr="00C359CC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09035E" w:rsidRPr="00C359CC" w:rsidRDefault="0009035E" w:rsidP="00DC53A7">
            <w:pPr>
              <w:widowControl w:val="0"/>
              <w:jc w:val="both"/>
              <w:rPr>
                <w:color w:val="000000"/>
              </w:rPr>
            </w:pPr>
            <w:r w:rsidRPr="00C359CC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09035E" w:rsidRPr="001E1ACD" w:rsidTr="00DC53A7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  <w:rPr>
                <w:color w:val="000000"/>
              </w:rPr>
            </w:pPr>
            <w:r w:rsidRPr="00C359CC">
              <w:rPr>
                <w:color w:val="000000"/>
              </w:rPr>
              <w:t>1.13.</w:t>
            </w:r>
          </w:p>
        </w:tc>
        <w:tc>
          <w:tcPr>
            <w:tcW w:w="4925" w:type="dxa"/>
            <w:shd w:val="clear" w:color="auto" w:fill="auto"/>
            <w:hideMark/>
          </w:tcPr>
          <w:p w:rsidR="0009035E" w:rsidRPr="00C359CC" w:rsidRDefault="0009035E" w:rsidP="00DC53A7">
            <w:pPr>
              <w:autoSpaceDE w:val="0"/>
              <w:autoSpaceDN w:val="0"/>
              <w:adjustRightInd w:val="0"/>
              <w:jc w:val="both"/>
            </w:pPr>
            <w:r w:rsidRPr="00C359CC">
              <w:t xml:space="preserve">Создание условий для развития системы </w:t>
            </w:r>
            <w:proofErr w:type="spellStart"/>
            <w:r w:rsidRPr="00C359CC">
              <w:t>межпоколенческого</w:t>
            </w:r>
            <w:proofErr w:type="spellEnd"/>
            <w:r w:rsidRPr="00C359CC"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тыс. человек</w:t>
            </w:r>
          </w:p>
        </w:tc>
        <w:tc>
          <w:tcPr>
            <w:tcW w:w="1560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0,454</w:t>
            </w:r>
          </w:p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(454 человека)</w:t>
            </w:r>
          </w:p>
        </w:tc>
        <w:tc>
          <w:tcPr>
            <w:tcW w:w="1701" w:type="dxa"/>
            <w:shd w:val="clear" w:color="auto" w:fill="auto"/>
            <w:hideMark/>
          </w:tcPr>
          <w:p w:rsidR="0009035E" w:rsidRPr="00C359CC" w:rsidRDefault="00CC671F" w:rsidP="00DC53A7">
            <w:pPr>
              <w:widowControl w:val="0"/>
              <w:jc w:val="center"/>
            </w:pPr>
            <w:r w:rsidRPr="00C359CC">
              <w:t>0,34</w:t>
            </w:r>
          </w:p>
          <w:p w:rsidR="0009035E" w:rsidRPr="00C359CC" w:rsidRDefault="00CC671F" w:rsidP="00DC53A7">
            <w:pPr>
              <w:widowControl w:val="0"/>
              <w:jc w:val="center"/>
            </w:pPr>
            <w:proofErr w:type="gramStart"/>
            <w:r w:rsidRPr="00C359CC">
              <w:t>(340</w:t>
            </w:r>
            <w:r w:rsidR="0009035E" w:rsidRPr="00C359CC">
              <w:t xml:space="preserve"> </w:t>
            </w:r>
            <w:proofErr w:type="gramEnd"/>
          </w:p>
          <w:p w:rsidR="0009035E" w:rsidRPr="00C359CC" w:rsidRDefault="0009035E" w:rsidP="00DC53A7">
            <w:pPr>
              <w:widowControl w:val="0"/>
              <w:jc w:val="center"/>
            </w:pPr>
            <w:r w:rsidRPr="00C359CC">
              <w:t>человек)</w:t>
            </w:r>
          </w:p>
        </w:tc>
        <w:tc>
          <w:tcPr>
            <w:tcW w:w="6378" w:type="dxa"/>
            <w:shd w:val="clear" w:color="auto" w:fill="auto"/>
            <w:hideMark/>
          </w:tcPr>
          <w:p w:rsidR="0009035E" w:rsidRPr="00C359CC" w:rsidRDefault="0009035E" w:rsidP="00DC53A7">
            <w:pPr>
              <w:widowControl w:val="0"/>
              <w:jc w:val="both"/>
              <w:rPr>
                <w:color w:val="000000"/>
              </w:rPr>
            </w:pPr>
            <w:r w:rsidRPr="00C359CC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09035E" w:rsidRPr="006962C0" w:rsidRDefault="0009035E" w:rsidP="00DC53A7">
            <w:pPr>
              <w:widowControl w:val="0"/>
              <w:jc w:val="both"/>
              <w:rPr>
                <w:color w:val="000000"/>
              </w:rPr>
            </w:pPr>
            <w:r w:rsidRPr="00C359CC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</w:tbl>
    <w:p w:rsidR="0009035E" w:rsidRDefault="0009035E" w:rsidP="0009035E">
      <w:pPr>
        <w:widowControl w:val="0"/>
        <w:jc w:val="center"/>
        <w:rPr>
          <w:sz w:val="28"/>
          <w:szCs w:val="28"/>
        </w:rPr>
      </w:pPr>
    </w:p>
    <w:p w:rsidR="0009035E" w:rsidRDefault="0009035E" w:rsidP="0009035E">
      <w:pPr>
        <w:widowControl w:val="0"/>
        <w:jc w:val="center"/>
        <w:rPr>
          <w:sz w:val="28"/>
          <w:szCs w:val="28"/>
        </w:rPr>
      </w:pPr>
    </w:p>
    <w:p w:rsidR="0009035E" w:rsidRDefault="0009035E" w:rsidP="0009035E">
      <w:pPr>
        <w:widowControl w:val="0"/>
        <w:jc w:val="center"/>
        <w:rPr>
          <w:sz w:val="28"/>
          <w:szCs w:val="28"/>
        </w:rPr>
      </w:pPr>
    </w:p>
    <w:p w:rsidR="0009035E" w:rsidRPr="00B76994" w:rsidRDefault="0009035E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sectPr w:rsidR="0009035E" w:rsidRPr="00B76994" w:rsidSect="0009035E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C6D" w:rsidRDefault="002D3C6D">
      <w:r>
        <w:separator/>
      </w:r>
    </w:p>
  </w:endnote>
  <w:endnote w:type="continuationSeparator" w:id="0">
    <w:p w:rsidR="002D3C6D" w:rsidRDefault="002D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C6D" w:rsidRDefault="002D3C6D">
      <w:r>
        <w:separator/>
      </w:r>
    </w:p>
  </w:footnote>
  <w:footnote w:type="continuationSeparator" w:id="0">
    <w:p w:rsidR="002D3C6D" w:rsidRDefault="002D3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146C8"/>
    <w:rsid w:val="00026E08"/>
    <w:rsid w:val="000278C8"/>
    <w:rsid w:val="00030A6B"/>
    <w:rsid w:val="00031F97"/>
    <w:rsid w:val="00032DA1"/>
    <w:rsid w:val="00043DFD"/>
    <w:rsid w:val="00044F0B"/>
    <w:rsid w:val="000468B8"/>
    <w:rsid w:val="0004793E"/>
    <w:rsid w:val="00061FF1"/>
    <w:rsid w:val="00062BDD"/>
    <w:rsid w:val="000713F1"/>
    <w:rsid w:val="000738EF"/>
    <w:rsid w:val="000764E6"/>
    <w:rsid w:val="0008136C"/>
    <w:rsid w:val="0008139B"/>
    <w:rsid w:val="00087565"/>
    <w:rsid w:val="0009035E"/>
    <w:rsid w:val="000B0C30"/>
    <w:rsid w:val="000B3088"/>
    <w:rsid w:val="000B7E49"/>
    <w:rsid w:val="000C3C30"/>
    <w:rsid w:val="000C4B3D"/>
    <w:rsid w:val="000C60BF"/>
    <w:rsid w:val="000C77F2"/>
    <w:rsid w:val="000D29EA"/>
    <w:rsid w:val="000D5F00"/>
    <w:rsid w:val="000E03AB"/>
    <w:rsid w:val="000E0FA1"/>
    <w:rsid w:val="000E1722"/>
    <w:rsid w:val="000E464A"/>
    <w:rsid w:val="000F1AC3"/>
    <w:rsid w:val="00112452"/>
    <w:rsid w:val="001164B0"/>
    <w:rsid w:val="001179BB"/>
    <w:rsid w:val="00120FD7"/>
    <w:rsid w:val="001359EF"/>
    <w:rsid w:val="0016150E"/>
    <w:rsid w:val="00167114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0BE3"/>
    <w:rsid w:val="001C13F1"/>
    <w:rsid w:val="001C2147"/>
    <w:rsid w:val="001C4273"/>
    <w:rsid w:val="001D75ED"/>
    <w:rsid w:val="001E4610"/>
    <w:rsid w:val="001F2836"/>
    <w:rsid w:val="001F2899"/>
    <w:rsid w:val="00206C8E"/>
    <w:rsid w:val="00213CFD"/>
    <w:rsid w:val="00217542"/>
    <w:rsid w:val="00244F43"/>
    <w:rsid w:val="00250C40"/>
    <w:rsid w:val="00255411"/>
    <w:rsid w:val="00256A54"/>
    <w:rsid w:val="00260D26"/>
    <w:rsid w:val="00262BED"/>
    <w:rsid w:val="00265A99"/>
    <w:rsid w:val="00265BA5"/>
    <w:rsid w:val="00267749"/>
    <w:rsid w:val="00267956"/>
    <w:rsid w:val="00270772"/>
    <w:rsid w:val="00270890"/>
    <w:rsid w:val="00272CF5"/>
    <w:rsid w:val="002778A8"/>
    <w:rsid w:val="00281932"/>
    <w:rsid w:val="00282E4A"/>
    <w:rsid w:val="00287C27"/>
    <w:rsid w:val="00296923"/>
    <w:rsid w:val="002A012E"/>
    <w:rsid w:val="002A74DB"/>
    <w:rsid w:val="002B1A23"/>
    <w:rsid w:val="002B1EC5"/>
    <w:rsid w:val="002B51DF"/>
    <w:rsid w:val="002B6E90"/>
    <w:rsid w:val="002B7190"/>
    <w:rsid w:val="002C5A6D"/>
    <w:rsid w:val="002D3C6D"/>
    <w:rsid w:val="002E0B44"/>
    <w:rsid w:val="002E18D0"/>
    <w:rsid w:val="002E6843"/>
    <w:rsid w:val="003015DF"/>
    <w:rsid w:val="00323185"/>
    <w:rsid w:val="00331619"/>
    <w:rsid w:val="00331C07"/>
    <w:rsid w:val="0033277D"/>
    <w:rsid w:val="00333339"/>
    <w:rsid w:val="0033734C"/>
    <w:rsid w:val="00342179"/>
    <w:rsid w:val="003424BB"/>
    <w:rsid w:val="0034655F"/>
    <w:rsid w:val="00357CCB"/>
    <w:rsid w:val="00360817"/>
    <w:rsid w:val="003648DC"/>
    <w:rsid w:val="00365791"/>
    <w:rsid w:val="00367132"/>
    <w:rsid w:val="00375926"/>
    <w:rsid w:val="00383AC1"/>
    <w:rsid w:val="00396F86"/>
    <w:rsid w:val="00397568"/>
    <w:rsid w:val="003A076D"/>
    <w:rsid w:val="003B0E1D"/>
    <w:rsid w:val="003B10F0"/>
    <w:rsid w:val="003B426C"/>
    <w:rsid w:val="003B6D4E"/>
    <w:rsid w:val="003B725A"/>
    <w:rsid w:val="003C5067"/>
    <w:rsid w:val="003E2A3E"/>
    <w:rsid w:val="003E4E4B"/>
    <w:rsid w:val="003F73CB"/>
    <w:rsid w:val="003F780E"/>
    <w:rsid w:val="00400AC8"/>
    <w:rsid w:val="00414E90"/>
    <w:rsid w:val="00415188"/>
    <w:rsid w:val="004179D1"/>
    <w:rsid w:val="004215CA"/>
    <w:rsid w:val="00423BCF"/>
    <w:rsid w:val="00427290"/>
    <w:rsid w:val="004367A3"/>
    <w:rsid w:val="00436AED"/>
    <w:rsid w:val="00437B01"/>
    <w:rsid w:val="00444837"/>
    <w:rsid w:val="00444FAB"/>
    <w:rsid w:val="00447BE5"/>
    <w:rsid w:val="00456F9A"/>
    <w:rsid w:val="00463D76"/>
    <w:rsid w:val="004644AE"/>
    <w:rsid w:val="004701DA"/>
    <w:rsid w:val="00470F8C"/>
    <w:rsid w:val="00474F08"/>
    <w:rsid w:val="004812A5"/>
    <w:rsid w:val="00482CB2"/>
    <w:rsid w:val="00483358"/>
    <w:rsid w:val="00486552"/>
    <w:rsid w:val="00491015"/>
    <w:rsid w:val="00496ACF"/>
    <w:rsid w:val="004A4D16"/>
    <w:rsid w:val="004A6306"/>
    <w:rsid w:val="004B0AEE"/>
    <w:rsid w:val="004B2342"/>
    <w:rsid w:val="004B2BCE"/>
    <w:rsid w:val="004B42DA"/>
    <w:rsid w:val="004C197F"/>
    <w:rsid w:val="004D48BC"/>
    <w:rsid w:val="004E134E"/>
    <w:rsid w:val="004E499F"/>
    <w:rsid w:val="00506F06"/>
    <w:rsid w:val="005112E2"/>
    <w:rsid w:val="00525405"/>
    <w:rsid w:val="005320BE"/>
    <w:rsid w:val="0053218A"/>
    <w:rsid w:val="00533CE8"/>
    <w:rsid w:val="00534D6D"/>
    <w:rsid w:val="00541188"/>
    <w:rsid w:val="0054660D"/>
    <w:rsid w:val="00553898"/>
    <w:rsid w:val="005638B8"/>
    <w:rsid w:val="00563BCB"/>
    <w:rsid w:val="00565A2C"/>
    <w:rsid w:val="00574552"/>
    <w:rsid w:val="00575668"/>
    <w:rsid w:val="00591B7A"/>
    <w:rsid w:val="005A3454"/>
    <w:rsid w:val="005C033C"/>
    <w:rsid w:val="005C3847"/>
    <w:rsid w:val="005E38D8"/>
    <w:rsid w:val="005E3BD9"/>
    <w:rsid w:val="005E649B"/>
    <w:rsid w:val="005F023A"/>
    <w:rsid w:val="005F3659"/>
    <w:rsid w:val="006037A5"/>
    <w:rsid w:val="0060654C"/>
    <w:rsid w:val="0060691C"/>
    <w:rsid w:val="00611FF7"/>
    <w:rsid w:val="00612373"/>
    <w:rsid w:val="00612934"/>
    <w:rsid w:val="00614B50"/>
    <w:rsid w:val="006213B9"/>
    <w:rsid w:val="00621949"/>
    <w:rsid w:val="006241EC"/>
    <w:rsid w:val="00631992"/>
    <w:rsid w:val="00634B52"/>
    <w:rsid w:val="00641FB7"/>
    <w:rsid w:val="0066004A"/>
    <w:rsid w:val="0066329F"/>
    <w:rsid w:val="0066410A"/>
    <w:rsid w:val="00671DA6"/>
    <w:rsid w:val="0067613F"/>
    <w:rsid w:val="00676922"/>
    <w:rsid w:val="00681B72"/>
    <w:rsid w:val="006911B5"/>
    <w:rsid w:val="00693BC3"/>
    <w:rsid w:val="00695601"/>
    <w:rsid w:val="006962C0"/>
    <w:rsid w:val="006A485B"/>
    <w:rsid w:val="006B3BE3"/>
    <w:rsid w:val="006C038D"/>
    <w:rsid w:val="006C1338"/>
    <w:rsid w:val="006C1B8B"/>
    <w:rsid w:val="006C508D"/>
    <w:rsid w:val="006C68DE"/>
    <w:rsid w:val="006D0984"/>
    <w:rsid w:val="006D0F50"/>
    <w:rsid w:val="006D15F6"/>
    <w:rsid w:val="006D63CE"/>
    <w:rsid w:val="006E05BC"/>
    <w:rsid w:val="006E106B"/>
    <w:rsid w:val="006E1FCF"/>
    <w:rsid w:val="006F18DC"/>
    <w:rsid w:val="0070391A"/>
    <w:rsid w:val="00722849"/>
    <w:rsid w:val="00722E75"/>
    <w:rsid w:val="0072453A"/>
    <w:rsid w:val="007257C7"/>
    <w:rsid w:val="0073596C"/>
    <w:rsid w:val="007373E1"/>
    <w:rsid w:val="00740A49"/>
    <w:rsid w:val="00746361"/>
    <w:rsid w:val="0075355A"/>
    <w:rsid w:val="0075422A"/>
    <w:rsid w:val="007549C7"/>
    <w:rsid w:val="00756193"/>
    <w:rsid w:val="007650A5"/>
    <w:rsid w:val="00765D16"/>
    <w:rsid w:val="007664F8"/>
    <w:rsid w:val="00775631"/>
    <w:rsid w:val="007774D2"/>
    <w:rsid w:val="007850E6"/>
    <w:rsid w:val="007870EE"/>
    <w:rsid w:val="00790099"/>
    <w:rsid w:val="00790C0E"/>
    <w:rsid w:val="00790D2E"/>
    <w:rsid w:val="00791EC7"/>
    <w:rsid w:val="00796C0A"/>
    <w:rsid w:val="007A60D3"/>
    <w:rsid w:val="007B294D"/>
    <w:rsid w:val="007B6F5C"/>
    <w:rsid w:val="007B7E9E"/>
    <w:rsid w:val="007C31DC"/>
    <w:rsid w:val="007D3868"/>
    <w:rsid w:val="007D6B2C"/>
    <w:rsid w:val="007E1D76"/>
    <w:rsid w:val="007E2584"/>
    <w:rsid w:val="007E324C"/>
    <w:rsid w:val="007E51DB"/>
    <w:rsid w:val="007E769F"/>
    <w:rsid w:val="007F54FF"/>
    <w:rsid w:val="007F770B"/>
    <w:rsid w:val="00801B46"/>
    <w:rsid w:val="008077DE"/>
    <w:rsid w:val="00807FC7"/>
    <w:rsid w:val="0081109C"/>
    <w:rsid w:val="00814217"/>
    <w:rsid w:val="00816FFB"/>
    <w:rsid w:val="00817E65"/>
    <w:rsid w:val="0082410E"/>
    <w:rsid w:val="008242EA"/>
    <w:rsid w:val="00825491"/>
    <w:rsid w:val="0083181A"/>
    <w:rsid w:val="00832880"/>
    <w:rsid w:val="008438F3"/>
    <w:rsid w:val="00844706"/>
    <w:rsid w:val="008535D4"/>
    <w:rsid w:val="0085704E"/>
    <w:rsid w:val="00872CD2"/>
    <w:rsid w:val="00883EFF"/>
    <w:rsid w:val="008A09A2"/>
    <w:rsid w:val="008A0A22"/>
    <w:rsid w:val="008B1385"/>
    <w:rsid w:val="008B6427"/>
    <w:rsid w:val="008C0162"/>
    <w:rsid w:val="008C16F8"/>
    <w:rsid w:val="008C6643"/>
    <w:rsid w:val="008E0FB8"/>
    <w:rsid w:val="008E285C"/>
    <w:rsid w:val="008F18B2"/>
    <w:rsid w:val="009039FB"/>
    <w:rsid w:val="00910ECA"/>
    <w:rsid w:val="00911613"/>
    <w:rsid w:val="00911FB0"/>
    <w:rsid w:val="009176CC"/>
    <w:rsid w:val="009331D1"/>
    <w:rsid w:val="00944872"/>
    <w:rsid w:val="009503FD"/>
    <w:rsid w:val="00954370"/>
    <w:rsid w:val="00957F84"/>
    <w:rsid w:val="00963C0F"/>
    <w:rsid w:val="00972F86"/>
    <w:rsid w:val="009734E2"/>
    <w:rsid w:val="009819FE"/>
    <w:rsid w:val="00982A5C"/>
    <w:rsid w:val="0098323C"/>
    <w:rsid w:val="00984CBE"/>
    <w:rsid w:val="00987B9D"/>
    <w:rsid w:val="00995DB9"/>
    <w:rsid w:val="00996F5F"/>
    <w:rsid w:val="00997D80"/>
    <w:rsid w:val="009A6D30"/>
    <w:rsid w:val="009A788E"/>
    <w:rsid w:val="009B09C5"/>
    <w:rsid w:val="009B190B"/>
    <w:rsid w:val="009B4725"/>
    <w:rsid w:val="009B7AC6"/>
    <w:rsid w:val="009C1A5E"/>
    <w:rsid w:val="009C44BF"/>
    <w:rsid w:val="009C50D9"/>
    <w:rsid w:val="009C6CC0"/>
    <w:rsid w:val="009E6F8E"/>
    <w:rsid w:val="009F0DAC"/>
    <w:rsid w:val="009F16D8"/>
    <w:rsid w:val="00A03A2F"/>
    <w:rsid w:val="00A05F8B"/>
    <w:rsid w:val="00A14397"/>
    <w:rsid w:val="00A22FD8"/>
    <w:rsid w:val="00A24855"/>
    <w:rsid w:val="00A250A5"/>
    <w:rsid w:val="00A32CFB"/>
    <w:rsid w:val="00A508FF"/>
    <w:rsid w:val="00A51E41"/>
    <w:rsid w:val="00A53D23"/>
    <w:rsid w:val="00A54B39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B2FDD"/>
    <w:rsid w:val="00AC64E9"/>
    <w:rsid w:val="00AD09F7"/>
    <w:rsid w:val="00AD19B7"/>
    <w:rsid w:val="00AD1D96"/>
    <w:rsid w:val="00AF6982"/>
    <w:rsid w:val="00B03B49"/>
    <w:rsid w:val="00B06979"/>
    <w:rsid w:val="00B131B3"/>
    <w:rsid w:val="00B169BA"/>
    <w:rsid w:val="00B20E93"/>
    <w:rsid w:val="00B232F2"/>
    <w:rsid w:val="00B309F2"/>
    <w:rsid w:val="00B324D0"/>
    <w:rsid w:val="00B32D00"/>
    <w:rsid w:val="00B36AA3"/>
    <w:rsid w:val="00B41CEC"/>
    <w:rsid w:val="00B457B4"/>
    <w:rsid w:val="00B53BC0"/>
    <w:rsid w:val="00B53D20"/>
    <w:rsid w:val="00B62AF5"/>
    <w:rsid w:val="00B6504C"/>
    <w:rsid w:val="00B65B47"/>
    <w:rsid w:val="00B73FFE"/>
    <w:rsid w:val="00B76994"/>
    <w:rsid w:val="00B8321D"/>
    <w:rsid w:val="00B94D8A"/>
    <w:rsid w:val="00B951F8"/>
    <w:rsid w:val="00BA42CB"/>
    <w:rsid w:val="00BA462B"/>
    <w:rsid w:val="00BB06B4"/>
    <w:rsid w:val="00BB13FC"/>
    <w:rsid w:val="00BB47E2"/>
    <w:rsid w:val="00BB7A32"/>
    <w:rsid w:val="00BC1FB6"/>
    <w:rsid w:val="00BD0B16"/>
    <w:rsid w:val="00BD31CC"/>
    <w:rsid w:val="00BD4E6D"/>
    <w:rsid w:val="00BD4FB3"/>
    <w:rsid w:val="00BE0710"/>
    <w:rsid w:val="00BE74D3"/>
    <w:rsid w:val="00BF6358"/>
    <w:rsid w:val="00C0101B"/>
    <w:rsid w:val="00C0241B"/>
    <w:rsid w:val="00C123B1"/>
    <w:rsid w:val="00C1374D"/>
    <w:rsid w:val="00C15E1C"/>
    <w:rsid w:val="00C204ED"/>
    <w:rsid w:val="00C21D4C"/>
    <w:rsid w:val="00C222D6"/>
    <w:rsid w:val="00C2633E"/>
    <w:rsid w:val="00C2670B"/>
    <w:rsid w:val="00C30EFE"/>
    <w:rsid w:val="00C31DBD"/>
    <w:rsid w:val="00C3257D"/>
    <w:rsid w:val="00C34CF3"/>
    <w:rsid w:val="00C359CC"/>
    <w:rsid w:val="00C36340"/>
    <w:rsid w:val="00C40D98"/>
    <w:rsid w:val="00C42AAA"/>
    <w:rsid w:val="00C4393E"/>
    <w:rsid w:val="00C46D42"/>
    <w:rsid w:val="00C54C6F"/>
    <w:rsid w:val="00C563AE"/>
    <w:rsid w:val="00C61D2C"/>
    <w:rsid w:val="00C6510F"/>
    <w:rsid w:val="00C863AD"/>
    <w:rsid w:val="00CA03CB"/>
    <w:rsid w:val="00CA084B"/>
    <w:rsid w:val="00CC1145"/>
    <w:rsid w:val="00CC32B4"/>
    <w:rsid w:val="00CC4FE0"/>
    <w:rsid w:val="00CC671F"/>
    <w:rsid w:val="00CC6A75"/>
    <w:rsid w:val="00CC7F2B"/>
    <w:rsid w:val="00CD4DE7"/>
    <w:rsid w:val="00CE077A"/>
    <w:rsid w:val="00CE1B12"/>
    <w:rsid w:val="00CE325B"/>
    <w:rsid w:val="00CE6BFF"/>
    <w:rsid w:val="00CF3C59"/>
    <w:rsid w:val="00D005DB"/>
    <w:rsid w:val="00D0787E"/>
    <w:rsid w:val="00D2442D"/>
    <w:rsid w:val="00D268A1"/>
    <w:rsid w:val="00D26937"/>
    <w:rsid w:val="00D27C42"/>
    <w:rsid w:val="00D31488"/>
    <w:rsid w:val="00D31D93"/>
    <w:rsid w:val="00D31FCD"/>
    <w:rsid w:val="00D40725"/>
    <w:rsid w:val="00D42621"/>
    <w:rsid w:val="00D43CF2"/>
    <w:rsid w:val="00D46301"/>
    <w:rsid w:val="00D5005D"/>
    <w:rsid w:val="00D54B57"/>
    <w:rsid w:val="00D5515B"/>
    <w:rsid w:val="00D5541D"/>
    <w:rsid w:val="00D638A3"/>
    <w:rsid w:val="00D65C75"/>
    <w:rsid w:val="00D679E4"/>
    <w:rsid w:val="00D7231C"/>
    <w:rsid w:val="00D822AB"/>
    <w:rsid w:val="00D91806"/>
    <w:rsid w:val="00D9376A"/>
    <w:rsid w:val="00DA0AFA"/>
    <w:rsid w:val="00DA33EB"/>
    <w:rsid w:val="00DA52E7"/>
    <w:rsid w:val="00DA6DDB"/>
    <w:rsid w:val="00DC082F"/>
    <w:rsid w:val="00DC69CD"/>
    <w:rsid w:val="00DD1C80"/>
    <w:rsid w:val="00DD3D0A"/>
    <w:rsid w:val="00DD47CC"/>
    <w:rsid w:val="00DE32BD"/>
    <w:rsid w:val="00DF001F"/>
    <w:rsid w:val="00DF1BFF"/>
    <w:rsid w:val="00DF2AD4"/>
    <w:rsid w:val="00DF56E8"/>
    <w:rsid w:val="00DF5BE6"/>
    <w:rsid w:val="00DF629C"/>
    <w:rsid w:val="00E0530E"/>
    <w:rsid w:val="00E10BD4"/>
    <w:rsid w:val="00E12378"/>
    <w:rsid w:val="00E14437"/>
    <w:rsid w:val="00E446D1"/>
    <w:rsid w:val="00E47DD5"/>
    <w:rsid w:val="00E540BE"/>
    <w:rsid w:val="00E549CB"/>
    <w:rsid w:val="00E60EA1"/>
    <w:rsid w:val="00E8452B"/>
    <w:rsid w:val="00E86353"/>
    <w:rsid w:val="00E902D5"/>
    <w:rsid w:val="00E929FE"/>
    <w:rsid w:val="00EA47B6"/>
    <w:rsid w:val="00EA6C4C"/>
    <w:rsid w:val="00EA7EC6"/>
    <w:rsid w:val="00EA7F4E"/>
    <w:rsid w:val="00EC70C3"/>
    <w:rsid w:val="00ED0D01"/>
    <w:rsid w:val="00ED1EF1"/>
    <w:rsid w:val="00EE0F9F"/>
    <w:rsid w:val="00EE6E9E"/>
    <w:rsid w:val="00EF2580"/>
    <w:rsid w:val="00EF6838"/>
    <w:rsid w:val="00EF7C64"/>
    <w:rsid w:val="00F041B1"/>
    <w:rsid w:val="00F153E6"/>
    <w:rsid w:val="00F15D53"/>
    <w:rsid w:val="00F26672"/>
    <w:rsid w:val="00F328D9"/>
    <w:rsid w:val="00F41C8D"/>
    <w:rsid w:val="00F4578A"/>
    <w:rsid w:val="00F46745"/>
    <w:rsid w:val="00F5508D"/>
    <w:rsid w:val="00F611E5"/>
    <w:rsid w:val="00F67565"/>
    <w:rsid w:val="00F676D3"/>
    <w:rsid w:val="00F7374D"/>
    <w:rsid w:val="00F75C25"/>
    <w:rsid w:val="00F96F28"/>
    <w:rsid w:val="00FA3F68"/>
    <w:rsid w:val="00FA7D25"/>
    <w:rsid w:val="00FB2A58"/>
    <w:rsid w:val="00FC0FF9"/>
    <w:rsid w:val="00FC1758"/>
    <w:rsid w:val="00FC3F55"/>
    <w:rsid w:val="00FD1630"/>
    <w:rsid w:val="00FD1972"/>
    <w:rsid w:val="00FE1BE3"/>
    <w:rsid w:val="00FE26ED"/>
    <w:rsid w:val="00FE2710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markedcontent">
    <w:name w:val="markedcontent"/>
    <w:basedOn w:val="a0"/>
    <w:rsid w:val="00CE0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F5A9D-3295-40CE-BB09-FCA6B3E3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11</Pages>
  <Words>3881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25952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349</cp:revision>
  <cp:lastPrinted>2022-09-23T05:56:00Z</cp:lastPrinted>
  <dcterms:created xsi:type="dcterms:W3CDTF">2019-05-16T11:40:00Z</dcterms:created>
  <dcterms:modified xsi:type="dcterms:W3CDTF">2022-09-30T07:15:00Z</dcterms:modified>
</cp:coreProperties>
</file>