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701675</wp:posOffset>
                </wp:positionV>
                <wp:extent cx="7010400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7010400" cy="0"/>
                        </a:xfrm>
                        <a:prstGeom prst="straightConnector1"/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6.25pt;margin-top:55.25pt;width:552.pt;height:0;z-index:-251658240;mso-position-horizontal-relative:page;mso-position-vertical-relative:page">
                <v:stroke weight="1.2pt"/>
              </v:shape>
            </w:pict>
          </mc:Fallback>
        </mc:AlternateContent>
      </w:r>
    </w:p>
    <w:p>
      <w:pPr>
        <w:pStyle w:val="Style7"/>
        <w:keepNext w:val="0"/>
        <w:keepLines w:val="0"/>
        <w:framePr w:w="8760" w:h="360" w:hRule="exact" w:wrap="none" w:vAnchor="page" w:hAnchor="page" w:x="676" w:y="564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применения правил осуществления производственного контроля качества и безопасности питьевой воды, горячей воды</w:t>
      </w:r>
    </w:p>
    <w:p>
      <w:pPr>
        <w:pStyle w:val="Style7"/>
        <w:keepNext w:val="0"/>
        <w:keepLines w:val="0"/>
        <w:framePr w:w="8760" w:h="360" w:hRule="exact" w:wrap="none" w:vAnchor="page" w:hAnchor="page" w:x="676" w:y="564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Письмо Роспотребнадзора от 23 октября 2015 г. №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07/72950-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15-32</w:t>
      </w:r>
    </w:p>
    <w:p>
      <w:pPr>
        <w:pStyle w:val="Style7"/>
        <w:keepNext w:val="0"/>
        <w:keepLines w:val="0"/>
        <w:framePr w:wrap="none" w:vAnchor="page" w:hAnchor="page" w:x="10223" w:y="6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</w:t>
      </w:r>
    </w:p>
    <w:p>
      <w:pPr>
        <w:pStyle w:val="Style10"/>
        <w:keepNext w:val="0"/>
        <w:keepLines w:val="0"/>
        <w:framePr w:w="10325" w:h="2160" w:hRule="exact" w:wrap="none" w:vAnchor="page" w:hAnchor="page" w:x="724" w:y="18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СЛУЖБА ПО НАДЗОРУ В СФЕРЕ ЗАЩИТЫ ПРАВ ПОТРЕБИТЕЛЕЙ И БЛАГОПОЛУЧИЯ</w:t>
        <w:br/>
        <w:t>ЧЕЛОВЕКА</w:t>
      </w:r>
      <w:bookmarkEnd w:id="0"/>
      <w:bookmarkEnd w:id="1"/>
    </w:p>
    <w:p>
      <w:pPr>
        <w:pStyle w:val="Style10"/>
        <w:keepNext w:val="0"/>
        <w:keepLines w:val="0"/>
        <w:framePr w:w="10325" w:h="2160" w:hRule="exact" w:wrap="none" w:vAnchor="page" w:hAnchor="page" w:x="724" w:y="18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ПИСЬМО</w:t>
      </w:r>
      <w:bookmarkEnd w:id="2"/>
      <w:bookmarkEnd w:id="3"/>
    </w:p>
    <w:p>
      <w:pPr>
        <w:pStyle w:val="Style12"/>
        <w:keepNext w:val="0"/>
        <w:keepLines w:val="0"/>
        <w:framePr w:w="10325" w:h="2160" w:hRule="exact" w:wrap="none" w:vAnchor="page" w:hAnchor="page" w:x="724" w:y="1821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ОТ 23 ОКТЯБРЯ 2015 ГОДА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01/12950-15-32</w:t>
      </w:r>
    </w:p>
    <w:p>
      <w:pPr>
        <w:pStyle w:val="Style10"/>
        <w:keepNext w:val="0"/>
        <w:keepLines w:val="0"/>
        <w:framePr w:w="10325" w:h="2160" w:hRule="exact" w:wrap="none" w:vAnchor="page" w:hAnchor="page" w:x="724" w:y="1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ПРИМЕНЕНИЯ ПРАВИЛ ОСУЩЕСТВЛЕНИЯ ПРОИЗВОДСТВЕННОГО КОНТРОЛЯ КАЧЕСТВА И</w:t>
        <w:br/>
        <w:t>БЕЗОПАСНОСТИ ПИТЬЕВОЙ ВОДЫ, ГОРЯЧЕЙ ВОДЫ</w:t>
      </w:r>
      <w:bookmarkEnd w:id="4"/>
      <w:bookmarkEnd w:id="5"/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служба по надзору в сфере защиты прав потребителей и благополучия человека в соответствии с Планом основных организационных мероприятий Роспотребнадзора на 2015 год, а также по результатам коллегии о санитарно-эпидемиологическом состоянии водоснабжения в Российской Федерации по итогам реализации Феде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рального закона от 07.12.2011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416 "О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оснабжении и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оотве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ении"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совещания специалистов по коммунальной гигиене направляет для использования в работе информацию о порядке применения правил осуществления производственного контроля качества и безопасности питьевой воды, горячей воды.</w:t>
      </w:r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shd w:val="clear" w:color="auto" w:fill="auto"/>
        <w:bidi w:val="0"/>
        <w:spacing w:before="0" w:line="259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со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статьей 25 Фе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рального закона от 07.12.2011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416-ФЗ "О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оснабжении и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оотве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ении"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порядок осуществления производственного контроля качества питьевой воды, горячей воды установлен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постановлением Правительства Российской Фе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рации от 6 января 2015 го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10 "О по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ряд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ке ос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ущ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ествления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роизво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ственного </w:t>
      </w:r>
      <w:r>
        <w:rPr>
          <w:smallCap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контроля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качества и безопасности питьевой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ды, го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рячей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ды".</w:t>
      </w:r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shd w:val="clear" w:color="auto" w:fill="auto"/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Программы производственного контроля качества и безопасности питьевой воды, горячей воды (далее - ППК), утвержденные до вступления в силу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постановления Правительства Российской Фе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рации от 06.01.2015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применяются до окончания срока их действия.</w:t>
      </w:r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shd w:val="clear" w:color="auto" w:fill="auto"/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Места отбора проб воды и перечень показателей, по которым осуществляется производственный контроль, должны соответствовать местам отбора проб воды и перечню показателей, по которым территориальными органами Роспотребнадзора осуществляется государственный санитарно-эпидемиологический надзор.</w:t>
      </w:r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shd w:val="clear" w:color="auto" w:fill="auto"/>
        <w:bidi w:val="0"/>
        <w:spacing w:before="0" w:line="252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оценке результатов лабораторных исследований питьевой воды, подаваемой абонентам с использованием централизованной системы холодного и горячего водоснабжения, следует иметь в виду, что питьевая вода считается соответствующей установленным гигиеническим нормативам в случае, если уровни показателей не превышают нормативов качества питьевой воды более чем на величину допустимой ошибки метода определения.</w:t>
      </w:r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shd w:val="clear" w:color="auto" w:fill="auto"/>
        <w:bidi w:val="0"/>
        <w:spacing w:before="0" w:line="252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случае, если по результатам производственного контроля качества питьевой воды, горячей воды, средние уровни показателей проб питьевой воды, горячей воды после водоподготовки, отобранных в течение календарного года, не соответствуют нормативам качества питьевой воды, территориальный орган федерального органа исполнительной власти, осуществляющий федеральный государственный санитарно-эпидемиологический надзор (далее - Территориальный отдел), обязан до 1 февраля очередного года направить уведомление об этом в орган местного самоуправления поселения, городского округа и в организацию, осуществляющую холодное водоснабжение.</w:t>
      </w:r>
    </w:p>
    <w:p>
      <w:pPr>
        <w:pStyle w:val="Style10"/>
        <w:keepNext w:val="0"/>
        <w:keepLines w:val="0"/>
        <w:framePr w:w="10325" w:h="10075" w:hRule="exact" w:wrap="none" w:vAnchor="page" w:hAnchor="page" w:x="724" w:y="4572"/>
        <w:widowControl w:val="0"/>
        <w:numPr>
          <w:ilvl w:val="0"/>
          <w:numId w:val="1"/>
        </w:numPr>
        <w:shd w:val="clear" w:color="auto" w:fill="auto"/>
        <w:tabs>
          <w:tab w:pos="222" w:val="left"/>
        </w:tabs>
        <w:bidi w:val="0"/>
        <w:spacing w:before="0" w:after="20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ВЫБОР ПОКАЗАТЕЛЕЙ ПРОИЗВОДСТВЕННОГО КОНТРОЛЯ ХИМИЧЕСКОГО СОСТАВА ПИТЬЕВОЙ</w:t>
        <w:br/>
        <w:t>ВОДЫ, ГОРЯЧЕЙ ВОДЫ</w:t>
      </w:r>
      <w:bookmarkEnd w:id="6"/>
      <w:bookmarkEnd w:id="7"/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numPr>
          <w:ilvl w:val="0"/>
          <w:numId w:val="3"/>
        </w:numPr>
        <w:shd w:val="clear" w:color="auto" w:fill="auto"/>
        <w:tabs>
          <w:tab w:pos="653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Выбор показателей химического состава питьевой воды, подлежащих постоянному производственному контролю, проводится для каждой системы водоснабжения на основании оценки результатов расширенных исследований химического состава воды централизованных источников питьевого, горячего и хозяйственно-бытового водоснабжения, а также технологии производства питьевой воды, горячей воды в системе водоснабжения.</w:t>
      </w:r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numPr>
          <w:ilvl w:val="0"/>
          <w:numId w:val="3"/>
        </w:numPr>
        <w:shd w:val="clear" w:color="auto" w:fill="auto"/>
        <w:tabs>
          <w:tab w:pos="653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Выбор показателей, характеризующих химический состав питьевой воды, для проведения расширенных исследований проводится организацией, осуществляющей эксплуатацию системы водоснабжения, совместно с территориальным управлением (ТУ) Роспотребнадзора в два этапа.</w:t>
      </w:r>
    </w:p>
    <w:p>
      <w:pPr>
        <w:pStyle w:val="Style12"/>
        <w:keepNext w:val="0"/>
        <w:keepLines w:val="0"/>
        <w:framePr w:w="10325" w:h="10075" w:hRule="exact" w:wrap="none" w:vAnchor="page" w:hAnchor="page" w:x="724" w:y="4572"/>
        <w:widowControl w:val="0"/>
        <w:numPr>
          <w:ilvl w:val="1"/>
          <w:numId w:val="3"/>
        </w:numPr>
        <w:shd w:val="clear" w:color="auto" w:fill="auto"/>
        <w:tabs>
          <w:tab w:pos="84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первом этапе организация, осуществляющая эксплуатацию системы водоснабжения, проводит ретроспективный анализ многолетней и сезонной динамики показателей, характеризующих источник</w:t>
      </w:r>
    </w:p>
    <w:p>
      <w:pPr>
        <w:pStyle w:val="Style7"/>
        <w:keepNext w:val="0"/>
        <w:keepLines w:val="0"/>
        <w:framePr w:wrap="none" w:vAnchor="page" w:hAnchor="page" w:x="743" w:y="152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Документ сохранен с портала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docs.cntd.ru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электронного фонда из более 25 000 000 нормативно-правовых и нормативно-технических документов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692785</wp:posOffset>
                </wp:positionV>
                <wp:extent cx="701040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7010400" cy="0"/>
                        </a:xfrm>
                        <a:prstGeom prst="straightConnector1"/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6.5pt;margin-top:54.549999999999997pt;width:552.pt;height:0;z-index:-251658240;mso-position-horizontal-relative:page;mso-position-vertical-relative:page">
                <v:stroke weight="1.2pt"/>
              </v:shape>
            </w:pict>
          </mc:Fallback>
        </mc:AlternateContent>
      </w:r>
    </w:p>
    <w:p>
      <w:pPr>
        <w:pStyle w:val="Style7"/>
        <w:keepNext w:val="0"/>
        <w:keepLines w:val="0"/>
        <w:framePr w:w="8760" w:h="355" w:hRule="exact" w:wrap="none" w:vAnchor="page" w:hAnchor="page" w:x="676" w:y="569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применения правил осуществления производственного контроля качества и безопасности питьевой воды, горячей воды</w:t>
      </w:r>
    </w:p>
    <w:p>
      <w:pPr>
        <w:pStyle w:val="Style7"/>
        <w:keepNext w:val="0"/>
        <w:keepLines w:val="0"/>
        <w:framePr w:w="8760" w:h="355" w:hRule="exact" w:wrap="none" w:vAnchor="page" w:hAnchor="page" w:x="676" w:y="569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Письмо Роспотребнадзора от 23 октября 2015 г. № 01/1295015-32</w:t>
      </w:r>
    </w:p>
    <w:p>
      <w:pPr>
        <w:pStyle w:val="Style7"/>
        <w:keepNext w:val="0"/>
        <w:keepLines w:val="0"/>
        <w:framePr w:wrap="none" w:vAnchor="page" w:hAnchor="page" w:x="10228" w:y="5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централизованного питьевого, горячего и хозяйственно-бытового водоснабжения за период не менее трех последних лет по следующим материалам: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5"/>
        </w:numPr>
        <w:shd w:val="clear" w:color="auto" w:fill="auto"/>
        <w:tabs>
          <w:tab w:pos="54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государственной статистической отчетности предприятий и организаций, а также иных официальных данных о составе и объемах сточных вод, поступающих в источники водоснабжения выше места водозабора в пределах их водосборной территории (для поверхностных источников водоснабжения);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5"/>
        </w:numPr>
        <w:shd w:val="clear" w:color="auto" w:fill="auto"/>
        <w:tabs>
          <w:tab w:pos="53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органов охраны природы, гидрометеослужбы, управления водными ресурсами, геологии и использования недр, предприятий и организаций о качестве поверхностных, подземных вод по результатам осуществляемого ими мониторинга качества вод и производственного контроля;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5"/>
        </w:numPr>
        <w:shd w:val="clear" w:color="auto" w:fill="auto"/>
        <w:tabs>
          <w:tab w:pos="543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данных территориального отдела по результатам санитарных обследований предприятий и организаций, осуществляющих хозяйственную деятельность и являющихся источниками загрязнения поверхностных и подземных вод во втором третьем поясах ЗСО, а также по результатам исследований качества воды в местах водопользования населения;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5"/>
        </w:numPr>
        <w:shd w:val="clear" w:color="auto" w:fill="auto"/>
        <w:tabs>
          <w:tab w:pos="548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органов управления и организаций сельского хозяйства об ассортименте и валовом объеме пестицидов и агрохимикатов, применяемых на территории водосбора (для поверхностного источника) и в пределах зоны санитарной охраны (для подземного источника).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shd w:val="clear" w:color="auto" w:fill="auto"/>
        <w:bidi w:val="0"/>
        <w:spacing w:before="0" w:line="259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проведенного анализа составляется перечень веществ, характеризующих техногенное загрязнение воды конкретного источника водоснабжения и имеющих гигиенические нормативы в соответствии с действующими санитарными правилами.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shd w:val="clear" w:color="auto" w:fill="auto"/>
        <w:bidi w:val="0"/>
        <w:spacing w:before="0" w:line="259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выбранных показателей, а также проведенный ретроспективный анализ многолетней и сезонной динамики показателей, характеризующих источник централизованного питьевого, горячего и хозяйственно-бытового водоснабжения, оценивается территориальным отделом.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1"/>
          <w:numId w:val="3"/>
        </w:numPr>
        <w:shd w:val="clear" w:color="auto" w:fill="auto"/>
        <w:tabs>
          <w:tab w:pos="891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втором этапе индивидуальные предприниматели и юридические лица, осуществляющие эксплуатацию системы водоснабжения, организуют проведение расширенных лабораторных исследований воды перед подачей в разводящую сеть централизованного питьевого и хозяйственно-бытового водоснабжения по составленному перечню химических веществ, характеризующих техногенное загрязнение, исходя из степени санитарно-эпидемиологической опасности: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5"/>
        </w:numPr>
        <w:shd w:val="clear" w:color="auto" w:fill="auto"/>
        <w:tabs>
          <w:tab w:pos="538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показателям, превышающим 0,5 ПДК по максимальным значениям в результате проведенного ретроспективного анализа;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5"/>
        </w:numPr>
        <w:shd w:val="clear" w:color="auto" w:fill="auto"/>
        <w:tabs>
          <w:tab w:pos="53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показателям, приведенным в действующих Санитарных правилах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СанПиН 2.1.4.1074-01 "Питьевая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Гигиенические требования к качеству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ы централизованных систем питьевого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оснабжения. </w:t>
      </w:r>
      <w:r>
        <w:rPr>
          <w:smallCap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Контроль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качества. Гигиенические требования к обеспечению безопасности систем горячего во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оснабжения"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7"/>
        </w:numPr>
        <w:shd w:val="clear" w:color="auto" w:fill="auto"/>
        <w:tabs>
          <w:tab w:pos="927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получения более представительной и достоверной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 в соответствии с поставленными задачами оценки качества воды источника водоснабжения.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7"/>
        </w:numPr>
        <w:shd w:val="clear" w:color="auto" w:fill="auto"/>
        <w:tabs>
          <w:tab w:pos="932" w:val="left"/>
        </w:tabs>
        <w:bidi w:val="0"/>
        <w:spacing w:before="0" w:line="259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системы водоснабжения, использующей реагентные методы обработки воды, при проведении расширенных исследований перед подачей воды в распределительную сеть дополнительно включают показатели, влияющие на качество питьевой воды в процессе водоподготовки согласно техническим условиям (техническому регламенту и т.п., на материалы, оборудование и реагенты, применяемые при водоподготовке).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7"/>
        </w:numPr>
        <w:shd w:val="clear" w:color="auto" w:fill="auto"/>
        <w:tabs>
          <w:tab w:pos="937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проведении расширенных исследований рекомендуется применение современных универсальных физико-химических методов исследования водных сред, позволяющих получить максимально полную информацию о химическом составе воды.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7"/>
        </w:numPr>
        <w:shd w:val="clear" w:color="auto" w:fill="auto"/>
        <w:tabs>
          <w:tab w:pos="937" w:val="left"/>
        </w:tabs>
        <w:bidi w:val="0"/>
        <w:spacing w:before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систем горячего водоснабжения расширенные лабораторные исследования включают:</w:t>
      </w:r>
    </w:p>
    <w:p>
      <w:pPr>
        <w:pStyle w:val="Style12"/>
        <w:keepNext w:val="0"/>
        <w:keepLines w:val="0"/>
        <w:framePr w:w="10325" w:h="12926" w:hRule="exact" w:wrap="none" w:vAnchor="page" w:hAnchor="page" w:x="724" w:y="1596"/>
        <w:widowControl w:val="0"/>
        <w:numPr>
          <w:ilvl w:val="0"/>
          <w:numId w:val="5"/>
        </w:numPr>
        <w:shd w:val="clear" w:color="auto" w:fill="auto"/>
        <w:tabs>
          <w:tab w:pos="5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входе в систему горячего водоснабжения: перечень показателей, установленный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п.2.2 настоящ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их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рекомен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даций:</w:t>
      </w:r>
    </w:p>
    <w:p>
      <w:pPr>
        <w:pStyle w:val="Style7"/>
        <w:keepNext w:val="0"/>
        <w:keepLines w:val="0"/>
        <w:framePr w:wrap="none" w:vAnchor="page" w:hAnchor="page" w:x="748" w:y="152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Документ сохранен с портала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docs.cntd.ru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электронного фонда из более 25 000 000 нормативно-правовых и нормативно-технических документов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695960</wp:posOffset>
                </wp:positionV>
                <wp:extent cx="7007225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7007225" cy="0"/>
                        </a:xfrm>
                        <a:prstGeom prst="straightConnector1"/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6.850000000000001pt;margin-top:54.799999999999997pt;width:551.75pt;height:0;z-index:-251658240;mso-position-horizontal-relative:page;mso-position-vertical-relative:page">
                <v:stroke weight="1.2pt"/>
              </v:shape>
            </w:pict>
          </mc:Fallback>
        </mc:AlternateContent>
      </w:r>
    </w:p>
    <w:p>
      <w:pPr>
        <w:pStyle w:val="Style7"/>
        <w:keepNext w:val="0"/>
        <w:keepLines w:val="0"/>
        <w:framePr w:w="8760" w:h="350" w:hRule="exact" w:wrap="none" w:vAnchor="page" w:hAnchor="page" w:x="679" w:y="573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применения правил осуществления производственного контроля качества и безопасности питьевой воды, горячей воды</w:t>
      </w:r>
    </w:p>
    <w:p>
      <w:pPr>
        <w:pStyle w:val="Style7"/>
        <w:keepNext w:val="0"/>
        <w:keepLines w:val="0"/>
        <w:framePr w:w="8760" w:h="350" w:hRule="exact" w:wrap="none" w:vAnchor="page" w:hAnchor="page" w:x="679" w:y="573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Письмо Роспотребнадзора от 23 октября 2015 г. № 01/12950-15-32</w:t>
      </w:r>
    </w:p>
    <w:p>
      <w:pPr>
        <w:pStyle w:val="Style7"/>
        <w:keepNext w:val="0"/>
        <w:keepLines w:val="0"/>
        <w:framePr w:wrap="none" w:vAnchor="page" w:hAnchor="page" w:x="10231" w:y="5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48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после водонагревателей и перед поступлением в сеть горячего водоснабжения: перечень показателей, установленный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п,2,2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а также иные показатели, влияющие на качество питьевой воды в процессе подогрева воды согласно техническим условиям (техническому регламенту и т.п. на материалы, оборудование и реагенты, применяемые при нагревании воды).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1"/>
          <w:numId w:val="3"/>
        </w:numPr>
        <w:shd w:val="clear" w:color="auto" w:fill="auto"/>
        <w:tabs>
          <w:tab w:pos="798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систем наружной разводящей сети централизованного питьевого водоснабжения расширенные лабораторные исследования включают: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38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входе в систему разводящей сети водоснабжения: перечень показателей, установленный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п.2.2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настоящего Приложения;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38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точках разводящей сети: перечень показателей, установленный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п.2.2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а также иные показатели, влияющие на качество питьевой воды в процессе транспортировки воды согласно техническим условиям (техническому регламенту и т.п. на материалы, оборудование и реагенты, применяемые при транспортировке воды).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1"/>
          <w:numId w:val="3"/>
        </w:numPr>
        <w:shd w:val="clear" w:color="auto" w:fill="auto"/>
        <w:tabs>
          <w:tab w:pos="798" w:val="left"/>
        </w:tabs>
        <w:bidi w:val="0"/>
        <w:spacing w:before="0" w:line="262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систем внутридомовой разводящей сети централизованного питьевого водоснабжения расширенные лабораторные исследования включают: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43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входе в систему внутридомовой разводящей сети: перечень показателей, установленный в точках наружной разводящей сети централизованной системы питьевого водоснабжения;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48" w:val="left"/>
        </w:tabs>
        <w:bidi w:val="0"/>
        <w:spacing w:before="0" w:line="259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точках внутридомовой разводящей сети: перечень показателей, установленный в точках наружной разводящей сети централизованной системы питьевого водоснабжения, а также перечень показателей, влияющих на качество питьевой воды в процессе ее транспортировки по внутридомовым сетям согласно техническим условиям (техническому регламенту и т.п. на материалы, оборудования и реагенты, применяемые при транспортировке).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1"/>
          <w:numId w:val="3"/>
        </w:numPr>
        <w:shd w:val="clear" w:color="auto" w:fill="auto"/>
        <w:tabs>
          <w:tab w:pos="798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систем наружной разводящей сети централизованного горячего водоснабжения расширенные лабораторные исследования включают: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43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входе в систему разводящей сети водоснабжения: перечень показателей, установленный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п.2.2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настоящего Приложения, и перечень показателей, установленный после водонагревания;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точках разводящей сети централизованного холодного водоснабжения: перечень показателей, установленный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п.2.2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а также иные показатели, влияющие на качество горячей воды в процессе транспортировки воды согласно техническим условиям (техническому регламенту и т.п. на материалы, оборудование и реагенты, применяемые при транспортировке воды).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1"/>
          <w:numId w:val="3"/>
        </w:numPr>
        <w:shd w:val="clear" w:color="auto" w:fill="auto"/>
        <w:tabs>
          <w:tab w:pos="798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систем внутридомовой разводящей сети централизованного горячего водоснабжения расширенные лабораторные исследования включают: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43" w:val="left"/>
        </w:tabs>
        <w:bidi w:val="0"/>
        <w:spacing w:before="0" w:line="25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входе в систему внутридомовой разводящей сети: перечень показателей, установленный в точках наружной разводящей сети централизованной системы горячего водоснабжения;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0"/>
          <w:numId w:val="5"/>
        </w:numPr>
        <w:shd w:val="clear" w:color="auto" w:fill="auto"/>
        <w:tabs>
          <w:tab w:pos="548" w:val="left"/>
        </w:tabs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точках внутридомовой разводящей сети централизованной системы горячего водоснабжения: перечень показателей, установленный в точках наружной разводящей сети централизованной системы горячего водоснабжения, а также перечень показателей, влияющих на качество питьевой воды в процессе ее транспортировки по внутридомовым сетям согласно техническим условиям (техническому регламенту и т.п. на материалы, оборудование и реагенты, применяемые при транспортировке воды).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1"/>
          <w:numId w:val="3"/>
        </w:numPr>
        <w:shd w:val="clear" w:color="auto" w:fill="auto"/>
        <w:tabs>
          <w:tab w:pos="798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Кратность проведения лабораторных исследований расширенного перечня показателей составляет не менее 1 раза в месяц (для поверхностных водоисточников) и 4 раза в год (для подземных водоисточников).</w:t>
      </w:r>
    </w:p>
    <w:p>
      <w:pPr>
        <w:pStyle w:val="Style12"/>
        <w:keepNext w:val="0"/>
        <w:keepLines w:val="0"/>
        <w:framePr w:w="10320" w:h="12264" w:hRule="exact" w:wrap="none" w:vAnchor="page" w:hAnchor="page" w:x="727" w:y="1836"/>
        <w:widowControl w:val="0"/>
        <w:numPr>
          <w:ilvl w:val="1"/>
          <w:numId w:val="3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Территориальные отделы проводят санитарно-эпидемиологическую оценку результатов расширенных исследований химического состава воды по каждой системе водоснабжения и с учетом оценки санитарных условий питьевого водопользования населения и санитарно-эпидемиологической обстановки на территории города, иного поселения, муниципального района.</w:t>
      </w:r>
    </w:p>
    <w:p>
      <w:pPr>
        <w:pStyle w:val="Style7"/>
        <w:keepNext w:val="0"/>
        <w:keepLines w:val="0"/>
        <w:framePr w:wrap="none" w:vAnchor="page" w:hAnchor="page" w:x="746" w:y="152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Документ сохранен с портала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docs.cntd.ru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электронного фонда из более 25 000 000 нормативно-правовых и нормативно-технических документов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701675</wp:posOffset>
                </wp:positionV>
                <wp:extent cx="4519930" cy="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4519930" cy="0"/>
                        </a:xfrm>
                        <a:prstGeom prst="straightConnector1"/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6.5pt;margin-top:55.25pt;width:355.89999999999998pt;height:0;z-index:-251658240;mso-position-horizontal-relative:page;mso-position-vertical-relative:page">
                <v:stroke weight="1.2pt"/>
              </v:shape>
            </w:pict>
          </mc:Fallback>
        </mc:AlternateContent>
      </w:r>
    </w:p>
    <w:p>
      <w:pPr>
        <w:pStyle w:val="Style7"/>
        <w:keepNext w:val="0"/>
        <w:keepLines w:val="0"/>
        <w:framePr w:w="8765" w:h="360" w:hRule="exact" w:wrap="none" w:vAnchor="page" w:hAnchor="page" w:x="676" w:y="564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применения правил осуществления производственного контроля качества и безопасности питьевой воды, горячей воды</w:t>
      </w:r>
    </w:p>
    <w:p>
      <w:pPr>
        <w:pStyle w:val="Style7"/>
        <w:keepNext w:val="0"/>
        <w:keepLines w:val="0"/>
        <w:framePr w:w="8765" w:h="360" w:hRule="exact" w:wrap="none" w:vAnchor="page" w:hAnchor="page" w:x="676" w:y="564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Письмо Роспотребнадзора от 23 октября 2015 г. №01/12950-15-32</w:t>
      </w:r>
    </w:p>
    <w:p>
      <w:pPr>
        <w:pStyle w:val="Style7"/>
        <w:keepNext w:val="0"/>
        <w:keepLines w:val="0"/>
        <w:framePr w:wrap="none" w:vAnchor="page" w:hAnchor="page" w:x="10228" w:y="6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1"/>
          <w:numId w:val="3"/>
        </w:numPr>
        <w:shd w:val="clear" w:color="auto" w:fill="auto"/>
        <w:tabs>
          <w:tab w:pos="888" w:val="left"/>
        </w:tabs>
        <w:bidi w:val="0"/>
        <w:spacing w:before="0" w:after="2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Территориальный отдел на основании проведенной оценки разрабатывает предложения по перечню контролируемых показателей химического состава воды, подлежащих постоянному производственному контролю и направляет их в адрес организации, осуществляющей эксплуатацию системы водоснабжения.</w:t>
      </w:r>
    </w:p>
    <w:p>
      <w:pPr>
        <w:pStyle w:val="Style10"/>
        <w:keepNext w:val="0"/>
        <w:keepLines w:val="0"/>
        <w:framePr w:w="10315" w:h="12912" w:hRule="exact" w:wrap="none" w:vAnchor="page" w:hAnchor="page" w:x="729" w:y="1629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II. СОСТАВЛЕНИЕ РАБОЧЕЙ ПРОГРАММЫ ПРОИЗВОДСТВЕННОГО КОНТРОЛЯ КАЧЕСТВА ПИТЬЕВОЙ</w:t>
        <w:br/>
        <w:t>ВОДЫ</w:t>
      </w:r>
      <w:bookmarkEnd w:id="8"/>
      <w:bookmarkEnd w:id="9"/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9"/>
        </w:numPr>
        <w:shd w:val="clear" w:color="auto" w:fill="auto"/>
        <w:tabs>
          <w:tab w:pos="733" w:val="left"/>
        </w:tabs>
        <w:bidi w:val="0"/>
        <w:spacing w:before="0" w:after="2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Индивидуальные предприниматели и юридические лица, осуществляющие эксплуатацию системы водоснабжения, разрабатывают рабочую Программу производственного контроля качества и безопасности питьевой воды, горячей воды.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9"/>
        </w:numPr>
        <w:shd w:val="clear" w:color="auto" w:fill="auto"/>
        <w:tabs>
          <w:tab w:pos="733" w:val="left"/>
        </w:tabs>
        <w:bidi w:val="0"/>
        <w:spacing w:before="0" w:after="220" w:line="257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системы водоснабжения, имеющей несколько водозаборов, программа составляется для каждого водозабора с учетом его особенностей. Для подземных водозаборов, объединенных общей зоной санитарной охраны, может составляться одна программа.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9"/>
        </w:numPr>
        <w:shd w:val="clear" w:color="auto" w:fill="auto"/>
        <w:tabs>
          <w:tab w:pos="645" w:val="left"/>
        </w:tabs>
        <w:bidi w:val="0"/>
        <w:spacing w:before="0" w:after="220" w:line="25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производственного контроля должна содержать: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5"/>
        </w:numPr>
        <w:shd w:val="clear" w:color="auto" w:fill="auto"/>
        <w:tabs>
          <w:tab w:pos="573" w:val="left"/>
        </w:tabs>
        <w:bidi w:val="0"/>
        <w:spacing w:before="0" w:after="220" w:line="25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показателей, по которым осуществляется контроль;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5"/>
        </w:numPr>
        <w:shd w:val="clear" w:color="auto" w:fill="auto"/>
        <w:tabs>
          <w:tab w:pos="553" w:val="left"/>
        </w:tabs>
        <w:bidi w:val="0"/>
        <w:spacing w:before="0" w:after="220" w:line="257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указание мест отбора проб воды, в том числе на границе эксплуатационной ответственности организаций, осуществляющих водоснабжение абонентов;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5"/>
        </w:numPr>
        <w:shd w:val="clear" w:color="auto" w:fill="auto"/>
        <w:tabs>
          <w:tab w:pos="573" w:val="left"/>
        </w:tabs>
        <w:bidi w:val="0"/>
        <w:spacing w:before="0" w:after="220" w:line="25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указание частоты отбора проб воды;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5"/>
        </w:numPr>
        <w:shd w:val="clear" w:color="auto" w:fill="auto"/>
        <w:tabs>
          <w:tab w:pos="548" w:val="left"/>
        </w:tabs>
        <w:bidi w:val="0"/>
        <w:spacing w:before="0" w:after="220" w:line="257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указание, в отношении каждого показателя, методики определения значения показателя и допустимая ошибка метода определения;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5"/>
        </w:numPr>
        <w:shd w:val="clear" w:color="auto" w:fill="auto"/>
        <w:tabs>
          <w:tab w:pos="548" w:val="left"/>
        </w:tabs>
        <w:bidi w:val="0"/>
        <w:spacing w:before="0" w:after="2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информирования территориального отдела о выявленных по результатам лабораторных исследований и испытаний несоответствиях качества воды установленным требованиям.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11"/>
        </w:numPr>
        <w:shd w:val="clear" w:color="auto" w:fill="auto"/>
        <w:tabs>
          <w:tab w:pos="783" w:val="left"/>
        </w:tabs>
        <w:bidi w:val="0"/>
        <w:spacing w:before="0" w:after="220" w:line="259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Территориальный отдел рассматривает программу производственного контроля в течение 15 рабочих дней со дня ее получения и принимает решение о ее согласовании или об отказе в согласовании и уведомляет о принятом решении организации, осуществляющие водоснабжение.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11"/>
        </w:numPr>
        <w:shd w:val="clear" w:color="auto" w:fill="auto"/>
        <w:tabs>
          <w:tab w:pos="774" w:val="left"/>
        </w:tabs>
        <w:bidi w:val="0"/>
        <w:spacing w:before="0" w:after="220" w:line="25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уведомлении территориального отдела о принятии решения об отказе в согласовании программы производственного контроля должны быть указаны основания, по которым принято такое решение, в том числе конкретные данные, содержащиеся в программе производственного контроля, не соответствующие требованиям настоящих Правил.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shd w:val="clear" w:color="auto" w:fill="auto"/>
        <w:bidi w:val="0"/>
        <w:spacing w:before="0" w:after="22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отказа в согласовании программы производственного контроля организация, осуществляющая водоснабжение, дорабатывает программу производственного контроля и в срок, не превышающий 10 рабочих дней со дня получения указанного уведомления, представляет программу производственного контроля на повторное согласование в территориальный орган (любым способом, позволяющим подтвердить факт и дату ее получения территориальным органом).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11"/>
        </w:numPr>
        <w:shd w:val="clear" w:color="auto" w:fill="auto"/>
        <w:tabs>
          <w:tab w:pos="888" w:val="left"/>
        </w:tabs>
        <w:bidi w:val="0"/>
        <w:spacing w:before="0" w:after="2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Рассмотрение и согласование доработанной программы производственного контроля осуществляется территориальным органом в течение 7 рабочих дней со дня ее получения с направлением организации, осуществляющей водоснабжение, соответствующего уведомления (любым способом, позволяющим подтвердить факт и дату получения уведомления).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11"/>
        </w:numPr>
        <w:shd w:val="clear" w:color="auto" w:fill="auto"/>
        <w:tabs>
          <w:tab w:pos="888" w:val="left"/>
        </w:tabs>
        <w:bidi w:val="0"/>
        <w:spacing w:before="0" w:after="22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Согласованная территориальным отделом программа производственного контроля утверждается руководителем организации, осуществляющей водоснабжение, в срок, не превышающий 5 рабочих дней со дня получения уведомления о ее согласовании.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numPr>
          <w:ilvl w:val="0"/>
          <w:numId w:val="11"/>
        </w:numPr>
        <w:shd w:val="clear" w:color="auto" w:fill="auto"/>
        <w:tabs>
          <w:tab w:pos="774" w:val="left"/>
        </w:tabs>
        <w:bidi w:val="0"/>
        <w:spacing w:before="0" w:after="2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Рабочая программа утверждается на срок не более 5 лет. В течение указанного срока в рабочую программу могут вноситься изменения и дополнения по согласованию с Территориальным отделом.</w:t>
      </w:r>
    </w:p>
    <w:p>
      <w:pPr>
        <w:pStyle w:val="Style12"/>
        <w:keepNext w:val="0"/>
        <w:keepLines w:val="0"/>
        <w:framePr w:w="10315" w:h="12912" w:hRule="exact" w:wrap="none" w:vAnchor="page" w:hAnchor="page" w:x="729" w:y="1629"/>
        <w:widowControl w:val="0"/>
        <w:shd w:val="clear" w:color="auto" w:fill="auto"/>
        <w:bidi w:val="0"/>
        <w:spacing w:before="0" w:after="0" w:line="257" w:lineRule="auto"/>
        <w:ind w:left="904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А. Ю. Попова</w:t>
      </w:r>
    </w:p>
    <w:p>
      <w:pPr>
        <w:pStyle w:val="Style7"/>
        <w:keepNext w:val="0"/>
        <w:keepLines w:val="0"/>
        <w:framePr w:wrap="none" w:vAnchor="page" w:hAnchor="page" w:x="748" w:y="152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Документ сохранен с портала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docs.cntd.ru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электронного фонда из более 25 000 000 нормативно-правовых и нормативно-технических документов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212090</wp:posOffset>
                </wp:positionH>
                <wp:positionV relativeFrom="page">
                  <wp:posOffset>698500</wp:posOffset>
                </wp:positionV>
                <wp:extent cx="7010400" cy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7010400" cy="0"/>
                        </a:xfrm>
                        <a:prstGeom prst="straightConnector1"/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6.699999999999999pt;margin-top:55.pt;width:552.pt;height:0;z-index:-251658240;mso-position-horizontal-relative:page;mso-position-vertical-relative:page">
                <v:stroke weight="1.2pt"/>
              </v:shape>
            </w:pict>
          </mc:Fallback>
        </mc:AlternateContent>
      </w:r>
    </w:p>
    <w:p>
      <w:pPr>
        <w:pStyle w:val="Style7"/>
        <w:keepNext w:val="0"/>
        <w:keepLines w:val="0"/>
        <w:framePr w:w="8760" w:h="341" w:hRule="exact" w:wrap="none" w:vAnchor="page" w:hAnchor="page" w:x="681" w:y="583"/>
        <w:widowControl w:val="0"/>
        <w:shd w:val="clear" w:color="auto" w:fill="auto"/>
        <w:bidi w:val="0"/>
        <w:spacing w:before="0" w:after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применения правил осуществления производственного контроля качества и безопасности питьевой воды, горячей воды</w:t>
      </w:r>
    </w:p>
    <w:p>
      <w:pPr>
        <w:pStyle w:val="Style7"/>
        <w:keepNext w:val="0"/>
        <w:keepLines w:val="0"/>
        <w:framePr w:w="8760" w:h="341" w:hRule="exact" w:wrap="none" w:vAnchor="page" w:hAnchor="page" w:x="681" w:y="583"/>
        <w:widowControl w:val="0"/>
        <w:shd w:val="clear" w:color="auto" w:fill="auto"/>
        <w:bidi w:val="0"/>
        <w:spacing w:before="0" w:after="0" w:line="18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Письмо Роспотребнадзора от 23 октября 2015 г. № 01/12950-15-32</w:t>
      </w:r>
    </w:p>
    <w:p>
      <w:pPr>
        <w:pStyle w:val="Style7"/>
        <w:keepNext w:val="0"/>
        <w:keepLines w:val="0"/>
        <w:framePr w:wrap="none" w:vAnchor="page" w:hAnchor="page" w:x="10228" w:y="6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</w:t>
      </w:r>
    </w:p>
    <w:p>
      <w:pPr>
        <w:pStyle w:val="Style12"/>
        <w:keepNext w:val="0"/>
        <w:keepLines w:val="0"/>
        <w:framePr w:w="10315" w:h="706" w:hRule="exact" w:wrap="none" w:vAnchor="page" w:hAnchor="page" w:x="729" w:y="227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Электронный текст документа подготовлен АО "Кодекс" и сверен по: рассылка</w:t>
      </w:r>
    </w:p>
    <w:p>
      <w:pPr>
        <w:pStyle w:val="Style7"/>
        <w:keepNext w:val="0"/>
        <w:keepLines w:val="0"/>
        <w:framePr w:wrap="none" w:vAnchor="page" w:hAnchor="page" w:x="767" w:y="152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Документ сохранен с портала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docs.cntd.ru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электронного фонда из более 25 000 000 нормативно-правовых и нормативнотехнических документов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2.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Колонтитул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Заголовок №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Основной текст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22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spacing w:after="21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FFFFFF"/>
      <w:spacing w:after="200" w:line="254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