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B76994" w:rsidRDefault="000738EF" w:rsidP="00B76994">
      <w:pPr>
        <w:widowControl w:val="0"/>
        <w:jc w:val="center"/>
        <w:rPr>
          <w:sz w:val="28"/>
          <w:szCs w:val="28"/>
        </w:rPr>
      </w:pPr>
      <w:r w:rsidRPr="00B76994">
        <w:rPr>
          <w:sz w:val="28"/>
          <w:szCs w:val="28"/>
        </w:rPr>
        <w:t xml:space="preserve">О реализации национального проекта «Образование» </w:t>
      </w:r>
      <w:r w:rsidR="00270890" w:rsidRPr="00B76994">
        <w:rPr>
          <w:sz w:val="28"/>
          <w:szCs w:val="28"/>
        </w:rPr>
        <w:t>на 01.0</w:t>
      </w:r>
      <w:r w:rsidR="00C34CF3" w:rsidRPr="00B76994">
        <w:rPr>
          <w:sz w:val="28"/>
          <w:szCs w:val="28"/>
        </w:rPr>
        <w:t>7</w:t>
      </w:r>
      <w:r w:rsidR="00270890" w:rsidRPr="00B76994">
        <w:rPr>
          <w:sz w:val="28"/>
          <w:szCs w:val="28"/>
        </w:rPr>
        <w:t>.</w:t>
      </w:r>
      <w:r w:rsidRPr="00B76994">
        <w:rPr>
          <w:sz w:val="28"/>
          <w:szCs w:val="28"/>
        </w:rPr>
        <w:t>202</w:t>
      </w:r>
      <w:r w:rsidR="00270890" w:rsidRPr="00B76994">
        <w:rPr>
          <w:sz w:val="28"/>
          <w:szCs w:val="28"/>
        </w:rPr>
        <w:t>2</w:t>
      </w:r>
    </w:p>
    <w:p w:rsidR="005320BE" w:rsidRPr="00B76994" w:rsidRDefault="005320BE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B76994" w:rsidRDefault="000738EF" w:rsidP="00B76994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6994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рег</w:t>
      </w:r>
      <w:r w:rsidR="00383AC1" w:rsidRPr="00B76994">
        <w:rPr>
          <w:rFonts w:eastAsia="Calibri"/>
          <w:sz w:val="28"/>
          <w:szCs w:val="28"/>
          <w:lang w:eastAsia="en-US"/>
        </w:rPr>
        <w:t>иональной</w:t>
      </w:r>
      <w:r w:rsidRPr="00B76994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Проекты):</w:t>
      </w:r>
      <w:proofErr w:type="gramEnd"/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-«Современная школа»;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-«Успех каждого ребёнка»;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-«Социальная активность»;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-«Патриотическое воспитание»;</w:t>
      </w:r>
    </w:p>
    <w:p w:rsidR="000738EF" w:rsidRPr="00B76994" w:rsidRDefault="000738EF" w:rsidP="00B76994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0C77F2" w:rsidRPr="00B76994" w:rsidRDefault="000C77F2" w:rsidP="00B76994">
      <w:pPr>
        <w:widowControl w:val="0"/>
        <w:ind w:firstLine="709"/>
        <w:jc w:val="both"/>
        <w:rPr>
          <w:b/>
          <w:sz w:val="28"/>
          <w:szCs w:val="28"/>
        </w:rPr>
      </w:pPr>
    </w:p>
    <w:p w:rsidR="000738EF" w:rsidRPr="00B76994" w:rsidRDefault="000738EF" w:rsidP="00B76994">
      <w:pPr>
        <w:widowControl w:val="0"/>
        <w:ind w:firstLine="709"/>
        <w:jc w:val="both"/>
        <w:rPr>
          <w:b/>
          <w:sz w:val="28"/>
          <w:szCs w:val="28"/>
        </w:rPr>
      </w:pPr>
      <w:r w:rsidRPr="00B76994">
        <w:rPr>
          <w:b/>
          <w:sz w:val="28"/>
          <w:szCs w:val="28"/>
        </w:rPr>
        <w:t>Национальный проект «Образование»</w:t>
      </w:r>
    </w:p>
    <w:p w:rsidR="000738EF" w:rsidRPr="00B76994" w:rsidRDefault="000738EF" w:rsidP="00B76994">
      <w:pPr>
        <w:widowControl w:val="0"/>
        <w:ind w:firstLine="709"/>
        <w:jc w:val="both"/>
        <w:rPr>
          <w:i/>
          <w:sz w:val="28"/>
          <w:szCs w:val="28"/>
        </w:rPr>
      </w:pPr>
      <w:r w:rsidRPr="00B76994">
        <w:rPr>
          <w:i/>
          <w:sz w:val="28"/>
          <w:szCs w:val="28"/>
        </w:rPr>
        <w:t>Региональный проект «Современная школа»</w:t>
      </w:r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B76994">
        <w:rPr>
          <w:rFonts w:eastAsia="Calibri"/>
          <w:sz w:val="28"/>
          <w:szCs w:val="28"/>
        </w:rPr>
        <w:t>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B7699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работы, региональные и муниципальные диагностические работы</w:t>
      </w:r>
      <w:r w:rsidRPr="00B76994">
        <w:rPr>
          <w:rFonts w:eastAsia="Calibri"/>
          <w:sz w:val="28"/>
          <w:szCs w:val="28"/>
        </w:rPr>
        <w:t xml:space="preserve">. </w:t>
      </w:r>
      <w:proofErr w:type="gramEnd"/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B76994">
        <w:rPr>
          <w:rFonts w:eastAsia="Calibri"/>
          <w:sz w:val="28"/>
          <w:szCs w:val="28"/>
        </w:rPr>
        <w:t>Д</w:t>
      </w:r>
      <w:r w:rsidRPr="00B7699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планируется участие обучающихся общеобразовательных организаций </w:t>
      </w:r>
      <w:proofErr w:type="gramStart"/>
      <w:r w:rsidRPr="00B76994">
        <w:rPr>
          <w:color w:val="000000" w:themeColor="text1"/>
          <w:sz w:val="28"/>
          <w:szCs w:val="28"/>
        </w:rPr>
        <w:t>в</w:t>
      </w:r>
      <w:proofErr w:type="gramEnd"/>
      <w:r w:rsidRPr="00B76994">
        <w:rPr>
          <w:color w:val="000000" w:themeColor="text1"/>
          <w:sz w:val="28"/>
          <w:szCs w:val="28"/>
        </w:rPr>
        <w:t>:</w:t>
      </w:r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 xml:space="preserve">-всероссийских проверочных </w:t>
      </w:r>
      <w:proofErr w:type="gramStart"/>
      <w:r w:rsidRPr="00B76994">
        <w:rPr>
          <w:sz w:val="28"/>
          <w:szCs w:val="28"/>
        </w:rPr>
        <w:t>работах</w:t>
      </w:r>
      <w:proofErr w:type="gramEnd"/>
      <w:r w:rsidRPr="00B76994">
        <w:rPr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>-</w:t>
      </w:r>
      <w:proofErr w:type="gramStart"/>
      <w:r w:rsidRPr="00B76994">
        <w:rPr>
          <w:sz w:val="28"/>
          <w:szCs w:val="28"/>
        </w:rPr>
        <w:t>мониторинге</w:t>
      </w:r>
      <w:proofErr w:type="gramEnd"/>
      <w:r w:rsidRPr="00B76994">
        <w:rPr>
          <w:sz w:val="28"/>
          <w:szCs w:val="28"/>
        </w:rPr>
        <w:t xml:space="preserve"> функциональной грамотности; </w:t>
      </w:r>
    </w:p>
    <w:p w:rsidR="00765D16" w:rsidRPr="00B76994" w:rsidRDefault="00765D16" w:rsidP="00B76994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76994">
        <w:rPr>
          <w:sz w:val="28"/>
          <w:szCs w:val="28"/>
        </w:rPr>
        <w:t>-репетиционных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CF3C59" w:rsidRPr="00B76994" w:rsidRDefault="00765D16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bidi="hi-IN"/>
        </w:rPr>
      </w:pPr>
      <w:proofErr w:type="gramStart"/>
      <w:r w:rsidRPr="00B76994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достижения в 2022 году планового значения показателя «Отношение среднего балла ЕГЭ в 10% школ с лучшими результатами к среднему баллу в 10% школ с худшими результатами» 1,37 ед. </w:t>
      </w:r>
      <w:r w:rsidR="008077DE" w:rsidRPr="00B76994">
        <w:rPr>
          <w:rFonts w:eastAsia="Calibri"/>
          <w:bCs/>
          <w:sz w:val="28"/>
          <w:szCs w:val="28"/>
          <w:lang w:eastAsia="en-US"/>
        </w:rPr>
        <w:t xml:space="preserve">проведены </w:t>
      </w:r>
      <w:r w:rsidRPr="00B76994">
        <w:rPr>
          <w:rFonts w:eastAsia="Calibri"/>
          <w:bCs/>
          <w:sz w:val="28"/>
          <w:szCs w:val="28"/>
          <w:lang w:eastAsia="en-US"/>
        </w:rPr>
        <w:t>репетиционны</w:t>
      </w:r>
      <w:r w:rsidR="008077DE" w:rsidRPr="00B76994">
        <w:rPr>
          <w:rFonts w:eastAsia="Calibri"/>
          <w:bCs/>
          <w:sz w:val="28"/>
          <w:szCs w:val="28"/>
          <w:lang w:eastAsia="en-US"/>
        </w:rPr>
        <w:t>е</w:t>
      </w:r>
      <w:r w:rsidRPr="00B76994">
        <w:rPr>
          <w:rFonts w:eastAsia="Calibri"/>
          <w:bCs/>
          <w:sz w:val="28"/>
          <w:szCs w:val="28"/>
          <w:lang w:eastAsia="en-US"/>
        </w:rPr>
        <w:t xml:space="preserve"> экзамен</w:t>
      </w:r>
      <w:r w:rsidR="008077DE" w:rsidRPr="00B76994">
        <w:rPr>
          <w:rFonts w:eastAsia="Calibri"/>
          <w:bCs/>
          <w:sz w:val="28"/>
          <w:szCs w:val="28"/>
          <w:lang w:eastAsia="en-US"/>
        </w:rPr>
        <w:t>ы</w:t>
      </w:r>
      <w:r w:rsidRPr="00B76994">
        <w:rPr>
          <w:rFonts w:eastAsia="Calibri"/>
          <w:bCs/>
          <w:sz w:val="28"/>
          <w:szCs w:val="28"/>
          <w:lang w:eastAsia="en-US"/>
        </w:rPr>
        <w:t>, как на базе общеобразовательных организаций,</w:t>
      </w:r>
      <w:bookmarkStart w:id="0" w:name="_GoBack"/>
      <w:bookmarkEnd w:id="0"/>
      <w:r w:rsidRPr="00B76994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и принятием на основе проведенного анализа управленческий решений, нацеленных на повышение</w:t>
      </w:r>
      <w:proofErr w:type="gramEnd"/>
      <w:r w:rsidRPr="00B76994">
        <w:rPr>
          <w:rFonts w:eastAsia="Calibri"/>
          <w:bCs/>
          <w:sz w:val="28"/>
          <w:szCs w:val="28"/>
          <w:lang w:eastAsia="en-US"/>
        </w:rPr>
        <w:t xml:space="preserve"> уровня качества подготовки </w:t>
      </w:r>
      <w:proofErr w:type="gramStart"/>
      <w:r w:rsidRPr="00B76994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B76994">
        <w:rPr>
          <w:rFonts w:eastAsia="Calibri"/>
          <w:bCs/>
          <w:sz w:val="28"/>
          <w:szCs w:val="28"/>
          <w:lang w:eastAsia="en-US"/>
        </w:rPr>
        <w:t>.</w:t>
      </w:r>
      <w:r w:rsidR="008077DE" w:rsidRPr="00B76994">
        <w:rPr>
          <w:rFonts w:eastAsia="Calibri"/>
          <w:sz w:val="28"/>
          <w:szCs w:val="28"/>
          <w:lang w:bidi="hi-IN"/>
        </w:rPr>
        <w:t xml:space="preserve"> </w:t>
      </w:r>
    </w:p>
    <w:p w:rsidR="008077DE" w:rsidRPr="00B76994" w:rsidRDefault="008077DE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bidi="hi-IN"/>
        </w:rPr>
      </w:pPr>
      <w:proofErr w:type="gramStart"/>
      <w:r w:rsidRPr="00B76994">
        <w:rPr>
          <w:rFonts w:eastAsia="Calibri"/>
          <w:sz w:val="28"/>
          <w:szCs w:val="28"/>
          <w:lang w:bidi="hi-IN"/>
        </w:rPr>
        <w:t xml:space="preserve">По итогам сдачи ЕГЭ в основной период 8 выпускников 11-х классов (МБОУ «СОШ № 2 им. А.И.Исаевой», МБОУ «СОШ № 3 </w:t>
      </w:r>
      <w:proofErr w:type="spellStart"/>
      <w:r w:rsidRPr="00B76994">
        <w:rPr>
          <w:rFonts w:eastAsia="Calibri"/>
          <w:sz w:val="28"/>
          <w:szCs w:val="28"/>
          <w:lang w:bidi="hi-IN"/>
        </w:rPr>
        <w:t>им.А.А.Ивасенко</w:t>
      </w:r>
      <w:proofErr w:type="spellEnd"/>
      <w:r w:rsidRPr="00B76994">
        <w:rPr>
          <w:rFonts w:eastAsia="Calibri"/>
          <w:sz w:val="28"/>
          <w:szCs w:val="28"/>
          <w:lang w:bidi="hi-IN"/>
        </w:rPr>
        <w:t xml:space="preserve">», </w:t>
      </w:r>
      <w:r w:rsidRPr="00B76994">
        <w:rPr>
          <w:rFonts w:eastAsia="Calibri"/>
          <w:sz w:val="28"/>
          <w:szCs w:val="28"/>
          <w:lang w:bidi="hi-IN"/>
        </w:rPr>
        <w:lastRenderedPageBreak/>
        <w:t>МБОУ «СОШ № 5 «Многопрофильная», МБОУ «СОШ № 8», МБОУ «СОШ № 10», ЧОУ «</w:t>
      </w:r>
      <w:proofErr w:type="spellStart"/>
      <w:r w:rsidRPr="00B76994">
        <w:rPr>
          <w:rFonts w:eastAsia="Calibri"/>
          <w:sz w:val="28"/>
          <w:szCs w:val="28"/>
          <w:lang w:bidi="hi-IN"/>
        </w:rPr>
        <w:t>Нефтеюганская</w:t>
      </w:r>
      <w:proofErr w:type="spellEnd"/>
      <w:r w:rsidRPr="00B76994">
        <w:rPr>
          <w:rFonts w:eastAsia="Calibri"/>
          <w:sz w:val="28"/>
          <w:szCs w:val="28"/>
          <w:lang w:bidi="hi-IN"/>
        </w:rPr>
        <w:t xml:space="preserve"> православная гимназия») получили максимальный результат 100 баллов по учебным предметам «химия», «литература», «русский язык», «физика», из них один учащийся МБОУ «СОШ № 5 «Многопрофильная</w:t>
      </w:r>
      <w:proofErr w:type="gramEnd"/>
      <w:r w:rsidRPr="00B76994">
        <w:rPr>
          <w:rFonts w:eastAsia="Calibri"/>
          <w:sz w:val="28"/>
          <w:szCs w:val="28"/>
          <w:lang w:bidi="hi-IN"/>
        </w:rPr>
        <w:t>» - максимальный результат 200 баллов по учебным предметам «русский язык» и «физика».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bCs/>
          <w:sz w:val="28"/>
          <w:szCs w:val="28"/>
          <w:lang w:eastAsia="en-US"/>
        </w:rPr>
        <w:t>Для решения задачи по обновлению содержания и технологий преподавания общеобразовательных программ к 2024 году в 100% школ проведён м</w:t>
      </w:r>
      <w:r w:rsidRPr="00B76994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составлен план-график курсов повышения квалификации по о</w:t>
      </w:r>
      <w:r w:rsidRPr="00B76994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76994">
        <w:rPr>
          <w:rFonts w:eastAsia="Calibri"/>
          <w:sz w:val="28"/>
          <w:szCs w:val="28"/>
          <w:lang w:eastAsia="en-US"/>
        </w:rPr>
        <w:t>для педагогических работников.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 (МБОУ «СОШ № 3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им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.И</w:t>
      </w:r>
      <w:proofErr w:type="gramEnd"/>
      <w:r w:rsidRPr="00B7699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BB06B4" w:rsidRPr="00B76994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начального общего и основного общего образования с 1 сентября 2022 года (далее – ФГОС НОО </w:t>
      </w:r>
      <w:proofErr w:type="gramStart"/>
      <w:r w:rsidRPr="00B76994">
        <w:rPr>
          <w:sz w:val="28"/>
          <w:szCs w:val="28"/>
        </w:rPr>
        <w:t>и ООО</w:t>
      </w:r>
      <w:proofErr w:type="gramEnd"/>
      <w:r w:rsidRPr="00B76994">
        <w:rPr>
          <w:sz w:val="28"/>
          <w:szCs w:val="28"/>
        </w:rPr>
        <w:t xml:space="preserve">). </w:t>
      </w:r>
      <w:proofErr w:type="gramStart"/>
      <w:r w:rsidRPr="00B76994">
        <w:rPr>
          <w:sz w:val="28"/>
          <w:szCs w:val="28"/>
        </w:rPr>
        <w:t xml:space="preserve">Разработан муниципальный план мероприятий, организованы: региональная апробация примерных рабочих программ НОО и ООО на базе МБОУ «СОШ № 3 им. </w:t>
      </w:r>
      <w:proofErr w:type="spellStart"/>
      <w:r w:rsidRPr="00B76994">
        <w:rPr>
          <w:sz w:val="28"/>
          <w:szCs w:val="28"/>
        </w:rPr>
        <w:t>А.А.Ивасенко</w:t>
      </w:r>
      <w:proofErr w:type="spellEnd"/>
      <w:r w:rsidRPr="00B76994">
        <w:rPr>
          <w:sz w:val="28"/>
          <w:szCs w:val="28"/>
        </w:rPr>
        <w:t xml:space="preserve">», повышение квалификации 238 педагогических работников, разрабатывающих и реализующих основные образовательные программы НОО и ООО, представлен опыт успешных практик учителей МБОУ «СОШ №2 </w:t>
      </w:r>
      <w:proofErr w:type="spellStart"/>
      <w:r w:rsidRPr="00B76994">
        <w:rPr>
          <w:sz w:val="28"/>
          <w:szCs w:val="28"/>
        </w:rPr>
        <w:t>им.А.И.Исаевой</w:t>
      </w:r>
      <w:proofErr w:type="spellEnd"/>
      <w:r w:rsidRPr="00B76994">
        <w:rPr>
          <w:sz w:val="28"/>
          <w:szCs w:val="28"/>
        </w:rPr>
        <w:t>», МБОУ «Начальная школа № 15», МБОУ «СОКШ №4» по разработке рабочих программ.</w:t>
      </w:r>
      <w:proofErr w:type="gramEnd"/>
    </w:p>
    <w:p w:rsidR="00BB06B4" w:rsidRPr="00B76994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7699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B76994">
        <w:rPr>
          <w:sz w:val="28"/>
          <w:szCs w:val="28"/>
        </w:rPr>
        <w:t xml:space="preserve">МБОУ «Начальная школа № 15» МБОУ «Школа развития № 24» определены региональными </w:t>
      </w:r>
      <w:proofErr w:type="spellStart"/>
      <w:r w:rsidRPr="00B76994">
        <w:rPr>
          <w:sz w:val="28"/>
          <w:szCs w:val="28"/>
        </w:rPr>
        <w:t>стажировочными</w:t>
      </w:r>
      <w:proofErr w:type="spellEnd"/>
      <w:r w:rsidRPr="00B7699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BB06B4" w:rsidRPr="00B76994" w:rsidRDefault="00BB06B4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округа. Кроме этого, 19 педагогических работников вошли в состав экспертного сообщества ХМАО - </w:t>
      </w:r>
      <w:proofErr w:type="spellStart"/>
      <w:r w:rsidRPr="00B76994">
        <w:rPr>
          <w:sz w:val="28"/>
          <w:szCs w:val="28"/>
        </w:rPr>
        <w:t>Югры</w:t>
      </w:r>
      <w:proofErr w:type="spellEnd"/>
      <w:r w:rsidRPr="00B76994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B76994">
        <w:rPr>
          <w:sz w:val="28"/>
          <w:szCs w:val="28"/>
        </w:rPr>
        <w:t>тьюторами</w:t>
      </w:r>
      <w:proofErr w:type="spellEnd"/>
      <w:r w:rsidRPr="00B76994">
        <w:rPr>
          <w:sz w:val="28"/>
          <w:szCs w:val="28"/>
        </w:rPr>
        <w:t xml:space="preserve"> в рамках </w:t>
      </w:r>
      <w:proofErr w:type="gramStart"/>
      <w:r w:rsidRPr="00B7699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B76994">
        <w:rPr>
          <w:sz w:val="28"/>
          <w:szCs w:val="28"/>
        </w:rPr>
        <w:t xml:space="preserve"> </w:t>
      </w:r>
      <w:proofErr w:type="spellStart"/>
      <w:r w:rsidRPr="00B76994">
        <w:rPr>
          <w:sz w:val="28"/>
          <w:szCs w:val="28"/>
        </w:rPr>
        <w:t>ХМАО-Югры</w:t>
      </w:r>
      <w:proofErr w:type="spellEnd"/>
      <w:r w:rsidRPr="00B7699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10% учащихся общеобразовательных организаций охвачены программами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</w:t>
      </w:r>
      <w:r w:rsidRPr="00B76994">
        <w:rPr>
          <w:rFonts w:eastAsia="Calibri"/>
          <w:sz w:val="28"/>
          <w:szCs w:val="28"/>
          <w:lang w:eastAsia="en-US"/>
        </w:rPr>
        <w:lastRenderedPageBreak/>
        <w:t xml:space="preserve">образования и молодёжной </w:t>
      </w:r>
      <w:r w:rsidR="00CF3C59" w:rsidRPr="00B76994">
        <w:rPr>
          <w:rFonts w:eastAsia="Calibri"/>
          <w:sz w:val="28"/>
          <w:szCs w:val="28"/>
          <w:lang w:eastAsia="en-US"/>
        </w:rPr>
        <w:t xml:space="preserve">политики в городе Нефтеюганске» </w:t>
      </w:r>
      <w:r w:rsidRPr="00B76994">
        <w:rPr>
          <w:rFonts w:eastAsia="Calibri"/>
          <w:sz w:val="28"/>
          <w:szCs w:val="28"/>
          <w:lang w:eastAsia="en-US"/>
        </w:rPr>
        <w:t>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.Н</w:t>
      </w:r>
      <w:proofErr w:type="gramEnd"/>
      <w:r w:rsidRPr="00B76994">
        <w:rPr>
          <w:rFonts w:eastAsia="Calibri"/>
          <w:sz w:val="28"/>
          <w:szCs w:val="28"/>
          <w:lang w:eastAsia="en-US"/>
        </w:rPr>
        <w:t>ефтеюганска (общеобразовательная организация с углубленным изучением отдельных предметов с унив</w:t>
      </w:r>
      <w:r w:rsidR="00CF3C59" w:rsidRPr="00B76994">
        <w:rPr>
          <w:rFonts w:eastAsia="Calibri"/>
          <w:sz w:val="28"/>
          <w:szCs w:val="28"/>
          <w:lang w:eastAsia="en-US"/>
        </w:rPr>
        <w:t xml:space="preserve">ерсальной </w:t>
      </w:r>
      <w:proofErr w:type="spellStart"/>
      <w:r w:rsidR="00CF3C59" w:rsidRPr="00B7699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="00CF3C59" w:rsidRPr="00B76994">
        <w:rPr>
          <w:rFonts w:eastAsia="Calibri"/>
          <w:sz w:val="28"/>
          <w:szCs w:val="28"/>
          <w:lang w:eastAsia="en-US"/>
        </w:rPr>
        <w:t xml:space="preserve"> средой)»</w:t>
      </w:r>
      <w:r w:rsidRPr="00B76994">
        <w:rPr>
          <w:rFonts w:eastAsia="Calibri"/>
          <w:sz w:val="28"/>
          <w:szCs w:val="28"/>
          <w:lang w:eastAsia="en-US"/>
        </w:rPr>
        <w:t>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B7699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D268A1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699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B76994">
        <w:rPr>
          <w:bCs/>
          <w:iCs/>
          <w:sz w:val="28"/>
          <w:szCs w:val="28"/>
        </w:rPr>
        <w:t xml:space="preserve"> </w:t>
      </w:r>
      <w:proofErr w:type="gramStart"/>
      <w:r w:rsidRPr="00B7699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региональном конкурсе «Учитель будущего ХМАО - </w:t>
      </w:r>
      <w:proofErr w:type="spellStart"/>
      <w:r w:rsidRPr="00B76994">
        <w:rPr>
          <w:bCs/>
          <w:iCs/>
          <w:sz w:val="28"/>
          <w:szCs w:val="28"/>
        </w:rPr>
        <w:t>Югры</w:t>
      </w:r>
      <w:proofErr w:type="spellEnd"/>
      <w:r w:rsidRPr="00B7699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B76994">
        <w:rPr>
          <w:bCs/>
          <w:iCs/>
          <w:sz w:val="28"/>
          <w:szCs w:val="28"/>
        </w:rPr>
        <w:t>Югры</w:t>
      </w:r>
      <w:proofErr w:type="spellEnd"/>
      <w:r w:rsidRPr="00B76994">
        <w:rPr>
          <w:bCs/>
          <w:iCs/>
          <w:sz w:val="28"/>
          <w:szCs w:val="28"/>
        </w:rPr>
        <w:t xml:space="preserve"> «Педагог-новатор»  и т.д.).</w:t>
      </w:r>
      <w:proofErr w:type="gramEnd"/>
      <w:r w:rsidR="005E649B" w:rsidRPr="00B76994">
        <w:rPr>
          <w:bCs/>
          <w:iCs/>
          <w:sz w:val="28"/>
          <w:szCs w:val="28"/>
        </w:rPr>
        <w:t xml:space="preserve"> </w:t>
      </w:r>
      <w:r w:rsidR="00270890" w:rsidRPr="00B76994">
        <w:rPr>
          <w:bCs/>
          <w:iCs/>
          <w:sz w:val="28"/>
          <w:szCs w:val="28"/>
        </w:rPr>
        <w:t>В 2022 году планируется повышение квалификации не менее 0,6</w:t>
      </w:r>
      <w:r w:rsidR="005E649B" w:rsidRPr="00B76994">
        <w:rPr>
          <w:bCs/>
          <w:iCs/>
          <w:sz w:val="28"/>
          <w:szCs w:val="28"/>
        </w:rPr>
        <w:t>8% педагогических работников общеобразовательных организаций в центре непрерывного повышения профессио</w:t>
      </w:r>
      <w:r w:rsidR="00270890" w:rsidRPr="00B76994">
        <w:rPr>
          <w:bCs/>
          <w:iCs/>
          <w:sz w:val="28"/>
          <w:szCs w:val="28"/>
        </w:rPr>
        <w:t xml:space="preserve">нального мастерства ХМАО </w:t>
      </w:r>
      <w:r w:rsidR="00671DA6" w:rsidRPr="00B76994">
        <w:rPr>
          <w:bCs/>
          <w:iCs/>
          <w:sz w:val="28"/>
          <w:szCs w:val="28"/>
        </w:rPr>
        <w:t>–</w:t>
      </w:r>
      <w:r w:rsidR="00270890" w:rsidRPr="00B76994">
        <w:rPr>
          <w:bCs/>
          <w:iCs/>
          <w:sz w:val="28"/>
          <w:szCs w:val="28"/>
        </w:rPr>
        <w:t xml:space="preserve"> </w:t>
      </w:r>
      <w:proofErr w:type="spellStart"/>
      <w:r w:rsidR="00270890" w:rsidRPr="00B76994">
        <w:rPr>
          <w:bCs/>
          <w:iCs/>
          <w:sz w:val="28"/>
          <w:szCs w:val="28"/>
        </w:rPr>
        <w:t>Югры</w:t>
      </w:r>
      <w:proofErr w:type="spellEnd"/>
      <w:r w:rsidR="00671DA6" w:rsidRPr="00B76994">
        <w:rPr>
          <w:rFonts w:eastAsia="Calibri"/>
          <w:sz w:val="28"/>
          <w:szCs w:val="28"/>
          <w:lang w:eastAsia="en-US"/>
        </w:rPr>
        <w:t xml:space="preserve"> (исполнение пок</w:t>
      </w:r>
      <w:r w:rsidR="00EC70C3" w:rsidRPr="00B76994">
        <w:rPr>
          <w:rFonts w:eastAsia="Calibri"/>
          <w:sz w:val="28"/>
          <w:szCs w:val="28"/>
          <w:lang w:eastAsia="en-US"/>
        </w:rPr>
        <w:t>азателя в настоящее время – 1,3</w:t>
      </w:r>
      <w:r w:rsidR="00671DA6" w:rsidRPr="00B76994">
        <w:rPr>
          <w:rFonts w:eastAsia="Calibri"/>
          <w:sz w:val="28"/>
          <w:szCs w:val="28"/>
          <w:lang w:eastAsia="en-US"/>
        </w:rPr>
        <w:t>%).</w:t>
      </w:r>
    </w:p>
    <w:p w:rsidR="001F2899" w:rsidRPr="00B76994" w:rsidRDefault="001F289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>Результат:</w:t>
      </w:r>
    </w:p>
    <w:p w:rsidR="001F2899" w:rsidRPr="00B76994" w:rsidRDefault="001F289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rFonts w:eastAsia="Calibri"/>
          <w:sz w:val="28"/>
          <w:szCs w:val="28"/>
          <w:lang w:eastAsia="en-US"/>
        </w:rPr>
        <w:t xml:space="preserve">-3 призёра </w:t>
      </w:r>
      <w:r w:rsidRPr="00B76994">
        <w:rPr>
          <w:bCs/>
          <w:iCs/>
          <w:sz w:val="28"/>
          <w:szCs w:val="28"/>
        </w:rPr>
        <w:t xml:space="preserve">регионального этапа конкурса профессионального мастерства в сфере образования ХМАО– </w:t>
      </w:r>
      <w:proofErr w:type="spellStart"/>
      <w:proofErr w:type="gramStart"/>
      <w:r w:rsidRPr="00B76994">
        <w:rPr>
          <w:bCs/>
          <w:iCs/>
          <w:sz w:val="28"/>
          <w:szCs w:val="28"/>
        </w:rPr>
        <w:t>Юг</w:t>
      </w:r>
      <w:proofErr w:type="gramEnd"/>
      <w:r w:rsidRPr="00B76994">
        <w:rPr>
          <w:bCs/>
          <w:iCs/>
          <w:sz w:val="28"/>
          <w:szCs w:val="28"/>
        </w:rPr>
        <w:t>ры</w:t>
      </w:r>
      <w:proofErr w:type="spellEnd"/>
      <w:r w:rsidRPr="00B76994">
        <w:rPr>
          <w:bCs/>
          <w:iCs/>
          <w:sz w:val="28"/>
          <w:szCs w:val="28"/>
        </w:rPr>
        <w:t xml:space="preserve"> «Педагог года </w:t>
      </w:r>
      <w:proofErr w:type="spellStart"/>
      <w:r w:rsidRPr="00B76994">
        <w:rPr>
          <w:bCs/>
          <w:iCs/>
          <w:sz w:val="28"/>
          <w:szCs w:val="28"/>
        </w:rPr>
        <w:t>Югры</w:t>
      </w:r>
      <w:proofErr w:type="spellEnd"/>
      <w:r w:rsidRPr="00B76994">
        <w:rPr>
          <w:bCs/>
          <w:iCs/>
          <w:sz w:val="28"/>
          <w:szCs w:val="28"/>
        </w:rPr>
        <w:t xml:space="preserve"> - 2022» в номинациях «Сердце отдаю детям», «Педагогическ</w:t>
      </w:r>
      <w:r w:rsidR="00EC70C3" w:rsidRPr="00B76994">
        <w:rPr>
          <w:bCs/>
          <w:iCs/>
          <w:sz w:val="28"/>
          <w:szCs w:val="28"/>
        </w:rPr>
        <w:t>ий дебют», «От сердца к сердцу»;</w:t>
      </w:r>
    </w:p>
    <w:p w:rsidR="00CF3C59" w:rsidRPr="00B76994" w:rsidRDefault="00CF3C5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/>
          <w:sz w:val="28"/>
          <w:szCs w:val="28"/>
        </w:rPr>
      </w:pPr>
      <w:r w:rsidRPr="00B76994">
        <w:rPr>
          <w:color w:val="000000"/>
          <w:sz w:val="28"/>
          <w:szCs w:val="28"/>
        </w:rPr>
        <w:t>-1 команда - финалист Всероссийского профессионального конкурса педагогических команд «Флагманы образования. Школы» президентской платформы «Россия – страна возможностей» (МБОУ «СОКШ № 4»);</w:t>
      </w:r>
    </w:p>
    <w:p w:rsidR="00CF3C59" w:rsidRPr="00B76994" w:rsidRDefault="00CF3C59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6994">
        <w:rPr>
          <w:sz w:val="28"/>
          <w:szCs w:val="28"/>
        </w:rPr>
        <w:t xml:space="preserve">-3 победителя окружного конкурса на звание лучшего педагога </w:t>
      </w:r>
      <w:proofErr w:type="spellStart"/>
      <w:r w:rsidRPr="00B76994">
        <w:rPr>
          <w:sz w:val="28"/>
          <w:szCs w:val="28"/>
        </w:rPr>
        <w:t>Ханты-Мансиймского</w:t>
      </w:r>
      <w:proofErr w:type="spellEnd"/>
      <w:r w:rsidRPr="00B76994">
        <w:rPr>
          <w:sz w:val="28"/>
          <w:szCs w:val="28"/>
        </w:rPr>
        <w:t xml:space="preserve"> автономного округа – </w:t>
      </w:r>
      <w:proofErr w:type="spellStart"/>
      <w:r w:rsidRPr="00B76994">
        <w:rPr>
          <w:sz w:val="28"/>
          <w:szCs w:val="28"/>
        </w:rPr>
        <w:t>Югры</w:t>
      </w:r>
      <w:proofErr w:type="spellEnd"/>
      <w:r w:rsidRPr="00B76994">
        <w:rPr>
          <w:sz w:val="28"/>
          <w:szCs w:val="28"/>
        </w:rPr>
        <w:t xml:space="preserve"> в 2022 году.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B76994">
        <w:rPr>
          <w:bCs/>
          <w:iCs/>
          <w:sz w:val="28"/>
          <w:szCs w:val="28"/>
        </w:rPr>
        <w:t>.Н</w:t>
      </w:r>
      <w:proofErr w:type="gramEnd"/>
      <w:r w:rsidRPr="00B7699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B76994">
        <w:rPr>
          <w:bCs/>
          <w:iCs/>
          <w:sz w:val="28"/>
          <w:szCs w:val="28"/>
        </w:rPr>
        <w:t>тьюторства</w:t>
      </w:r>
      <w:proofErr w:type="spellEnd"/>
      <w:r w:rsidRPr="00B76994">
        <w:rPr>
          <w:bCs/>
          <w:iCs/>
          <w:sz w:val="28"/>
          <w:szCs w:val="28"/>
        </w:rPr>
        <w:t xml:space="preserve">, организовано участие в работе сетевых сообществ, проводятся стажировки, мастер-классы, осуществляются финансовые формы </w:t>
      </w:r>
      <w:r w:rsidRPr="00B76994">
        <w:rPr>
          <w:bCs/>
          <w:iCs/>
          <w:sz w:val="28"/>
          <w:szCs w:val="28"/>
        </w:rPr>
        <w:lastRenderedPageBreak/>
        <w:t>поддержки. Молодые педагоги являются активными участниками проектной деятельности.</w:t>
      </w:r>
    </w:p>
    <w:p w:rsidR="00270890" w:rsidRPr="00B76994" w:rsidRDefault="0027089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B7699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76994">
        <w:rPr>
          <w:rFonts w:eastAsia="Calibri"/>
          <w:sz w:val="28"/>
          <w:szCs w:val="28"/>
          <w:lang w:eastAsia="en-US"/>
        </w:rPr>
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до </w:t>
      </w:r>
      <w:r w:rsidR="005F3659" w:rsidRPr="00B76994">
        <w:rPr>
          <w:rFonts w:eastAsia="Calibri"/>
          <w:sz w:val="28"/>
          <w:szCs w:val="28"/>
          <w:lang w:eastAsia="en-US"/>
        </w:rPr>
        <w:t>87,1</w:t>
      </w:r>
      <w:r w:rsidRPr="00B76994">
        <w:rPr>
          <w:rFonts w:eastAsia="Calibri"/>
          <w:sz w:val="28"/>
          <w:szCs w:val="28"/>
          <w:lang w:eastAsia="en-US"/>
        </w:rPr>
        <w:t>%, в городе созданы условия для дополнительного образования детей в сферах образования, культуры, физической культуры и спорта</w:t>
      </w:r>
      <w:r w:rsidR="005F3659" w:rsidRPr="00B76994">
        <w:rPr>
          <w:rFonts w:eastAsia="Calibri"/>
          <w:sz w:val="28"/>
          <w:szCs w:val="28"/>
          <w:lang w:eastAsia="en-US"/>
        </w:rPr>
        <w:t xml:space="preserve"> (исполнение </w:t>
      </w:r>
      <w:r w:rsidR="001F2899" w:rsidRPr="00B76994">
        <w:rPr>
          <w:rFonts w:eastAsia="Calibri"/>
          <w:sz w:val="28"/>
          <w:szCs w:val="28"/>
          <w:lang w:eastAsia="en-US"/>
        </w:rPr>
        <w:t>п</w:t>
      </w:r>
      <w:r w:rsidR="00D31D93" w:rsidRPr="00B76994">
        <w:rPr>
          <w:rFonts w:eastAsia="Calibri"/>
          <w:sz w:val="28"/>
          <w:szCs w:val="28"/>
          <w:lang w:eastAsia="en-US"/>
        </w:rPr>
        <w:t>оказателя в настоящее время – 86,5</w:t>
      </w:r>
      <w:r w:rsidR="005F3659" w:rsidRPr="00B76994">
        <w:rPr>
          <w:rFonts w:eastAsia="Calibri"/>
          <w:sz w:val="28"/>
          <w:szCs w:val="28"/>
          <w:lang w:eastAsia="en-US"/>
        </w:rPr>
        <w:t>%, план 2022 г. – 8</w:t>
      </w:r>
      <w:r w:rsidR="00D31D93" w:rsidRPr="00B76994">
        <w:rPr>
          <w:rFonts w:eastAsia="Calibri"/>
          <w:sz w:val="28"/>
          <w:szCs w:val="28"/>
          <w:lang w:eastAsia="en-US"/>
        </w:rPr>
        <w:t>6,9</w:t>
      </w:r>
      <w:r w:rsidR="00BB47E2" w:rsidRPr="00B76994">
        <w:rPr>
          <w:rFonts w:eastAsia="Calibri"/>
          <w:sz w:val="28"/>
          <w:szCs w:val="28"/>
          <w:lang w:eastAsia="en-US"/>
        </w:rPr>
        <w:t>%</w:t>
      </w:r>
      <w:r w:rsidR="005F3659" w:rsidRPr="00B76994">
        <w:rPr>
          <w:rFonts w:eastAsia="Calibri"/>
          <w:sz w:val="28"/>
          <w:szCs w:val="28"/>
          <w:lang w:eastAsia="en-US"/>
        </w:rPr>
        <w:t>).</w:t>
      </w:r>
      <w:r w:rsidRPr="00B76994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Реализуется система персонифицированного финансирования дополнительного образования: </w:t>
      </w:r>
      <w:r w:rsidR="00553898" w:rsidRPr="00B76994">
        <w:rPr>
          <w:rFonts w:eastAsia="Calibri"/>
          <w:sz w:val="28"/>
          <w:szCs w:val="28"/>
          <w:lang w:eastAsia="en-US"/>
        </w:rPr>
        <w:t>12,5</w:t>
      </w:r>
      <w:r w:rsidRPr="00B76994">
        <w:rPr>
          <w:rFonts w:eastAsia="Calibri"/>
          <w:sz w:val="28"/>
          <w:szCs w:val="28"/>
          <w:lang w:eastAsia="en-US"/>
        </w:rPr>
        <w:t xml:space="preserve"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услуг. Прошли сертификацию </w:t>
      </w:r>
      <w:r w:rsidR="00D31D93" w:rsidRPr="00B76994">
        <w:rPr>
          <w:rFonts w:eastAsia="Calibri"/>
          <w:sz w:val="28"/>
          <w:szCs w:val="28"/>
          <w:lang w:eastAsia="en-US"/>
        </w:rPr>
        <w:t>570</w:t>
      </w:r>
      <w:r w:rsidRPr="00B7699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281932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</w:t>
      </w:r>
      <w:r w:rsidR="00DF1BFF" w:rsidRPr="00B76994">
        <w:rPr>
          <w:rFonts w:eastAsia="Calibri"/>
          <w:sz w:val="28"/>
          <w:szCs w:val="28"/>
          <w:lang w:eastAsia="en-US"/>
        </w:rPr>
        <w:t>не менее 45</w:t>
      </w:r>
      <w:r w:rsidR="00553898" w:rsidRPr="00B76994">
        <w:rPr>
          <w:rFonts w:eastAsia="Calibri"/>
          <w:sz w:val="28"/>
          <w:szCs w:val="28"/>
          <w:lang w:eastAsia="en-US"/>
        </w:rPr>
        <w:t>%</w:t>
      </w:r>
      <w:r w:rsidRPr="00B76994">
        <w:rPr>
          <w:rFonts w:eastAsia="Calibri"/>
          <w:sz w:val="28"/>
          <w:szCs w:val="28"/>
          <w:lang w:eastAsia="en-US"/>
        </w:rPr>
        <w:t xml:space="preserve">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ХМ</w:t>
      </w:r>
      <w:r w:rsidR="00553898" w:rsidRPr="00B76994">
        <w:rPr>
          <w:rFonts w:eastAsia="Calibri"/>
          <w:sz w:val="28"/>
          <w:szCs w:val="28"/>
          <w:lang w:eastAsia="en-US"/>
        </w:rPr>
        <w:t>АО-Югры</w:t>
      </w:r>
      <w:proofErr w:type="spellEnd"/>
      <w:r w:rsidR="00553898" w:rsidRPr="00B76994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="00553898" w:rsidRPr="00B76994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="00553898" w:rsidRPr="00B76994">
        <w:rPr>
          <w:rFonts w:eastAsia="Calibri"/>
          <w:sz w:val="28"/>
          <w:szCs w:val="28"/>
          <w:lang w:eastAsia="en-US"/>
        </w:rPr>
        <w:t>»</w:t>
      </w:r>
      <w:r w:rsidR="005F3659" w:rsidRPr="00B76994">
        <w:rPr>
          <w:rFonts w:eastAsia="Calibri"/>
          <w:sz w:val="28"/>
          <w:szCs w:val="28"/>
          <w:lang w:eastAsia="en-US"/>
        </w:rPr>
        <w:t xml:space="preserve"> (исполнение </w:t>
      </w:r>
      <w:r w:rsidR="00DF1BFF" w:rsidRPr="00B76994">
        <w:rPr>
          <w:rFonts w:eastAsia="Calibri"/>
          <w:sz w:val="28"/>
          <w:szCs w:val="28"/>
          <w:lang w:eastAsia="en-US"/>
        </w:rPr>
        <w:t>показателя в настоящее время – 21,5</w:t>
      </w:r>
      <w:r w:rsidR="006D15F6" w:rsidRPr="00B76994">
        <w:rPr>
          <w:rFonts w:eastAsia="Calibri"/>
          <w:sz w:val="28"/>
          <w:szCs w:val="28"/>
          <w:lang w:eastAsia="en-US"/>
        </w:rPr>
        <w:t>%, план 2022 г. – 3</w:t>
      </w:r>
      <w:r w:rsidR="00DF1BFF" w:rsidRPr="00B76994">
        <w:rPr>
          <w:rFonts w:eastAsia="Calibri"/>
          <w:sz w:val="28"/>
          <w:szCs w:val="28"/>
          <w:lang w:eastAsia="en-US"/>
        </w:rPr>
        <w:t>5,6</w:t>
      </w:r>
      <w:r w:rsidR="005F3659" w:rsidRPr="00B76994">
        <w:rPr>
          <w:rFonts w:eastAsia="Calibri"/>
          <w:sz w:val="28"/>
          <w:szCs w:val="28"/>
          <w:lang w:eastAsia="en-US"/>
        </w:rPr>
        <w:t>%).</w:t>
      </w:r>
      <w:r w:rsidR="00281932" w:rsidRPr="00B76994">
        <w:rPr>
          <w:rFonts w:eastAsia="Calibri"/>
          <w:sz w:val="28"/>
          <w:szCs w:val="28"/>
          <w:lang w:eastAsia="en-US"/>
        </w:rPr>
        <w:t xml:space="preserve"> </w:t>
      </w:r>
    </w:p>
    <w:p w:rsidR="00281932" w:rsidRPr="00B76994" w:rsidRDefault="0028193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К 2024 году 37%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 xml:space="preserve">С этой целью организовано дистанционное участие учащихся общеобразовательных организаций  в открытых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B7699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 (</w:t>
      </w:r>
      <w:r w:rsidR="006962C0" w:rsidRPr="00B76994">
        <w:rPr>
          <w:rFonts w:eastAsia="Calibri"/>
          <w:sz w:val="28"/>
          <w:szCs w:val="28"/>
          <w:lang w:eastAsia="en-US"/>
        </w:rPr>
        <w:t>исполнение по</w:t>
      </w:r>
      <w:r w:rsidR="00DF1BFF" w:rsidRPr="00B76994">
        <w:rPr>
          <w:rFonts w:eastAsia="Calibri"/>
          <w:sz w:val="28"/>
          <w:szCs w:val="28"/>
          <w:lang w:eastAsia="en-US"/>
        </w:rPr>
        <w:t>казателя в настоящее время – 12</w:t>
      </w:r>
      <w:r w:rsidR="006962C0" w:rsidRPr="00B76994">
        <w:rPr>
          <w:rFonts w:eastAsia="Calibri"/>
          <w:sz w:val="28"/>
          <w:szCs w:val="28"/>
          <w:lang w:eastAsia="en-US"/>
        </w:rPr>
        <w:t xml:space="preserve">%, </w:t>
      </w:r>
      <w:r w:rsidR="00DF1BFF" w:rsidRPr="00B76994">
        <w:rPr>
          <w:rFonts w:eastAsia="Calibri"/>
          <w:sz w:val="28"/>
          <w:szCs w:val="28"/>
          <w:lang w:eastAsia="en-US"/>
        </w:rPr>
        <w:t>план 2022 г. – 3</w:t>
      </w:r>
      <w:r w:rsidR="005F3659" w:rsidRPr="00B76994">
        <w:rPr>
          <w:rFonts w:eastAsia="Calibri"/>
          <w:sz w:val="28"/>
          <w:szCs w:val="28"/>
          <w:lang w:eastAsia="en-US"/>
        </w:rPr>
        <w:t>0%</w:t>
      </w:r>
      <w:r w:rsidRPr="00B76994">
        <w:rPr>
          <w:rFonts w:eastAsia="Calibri"/>
          <w:sz w:val="28"/>
          <w:szCs w:val="28"/>
          <w:lang w:eastAsia="en-US"/>
        </w:rPr>
        <w:t xml:space="preserve">). </w:t>
      </w:r>
      <w:proofErr w:type="gramEnd"/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</w:t>
      </w:r>
      <w:r w:rsidR="00553898" w:rsidRPr="00B76994">
        <w:rPr>
          <w:rFonts w:eastAsia="Calibri"/>
          <w:sz w:val="28"/>
          <w:szCs w:val="28"/>
          <w:lang w:eastAsia="en-US"/>
        </w:rPr>
        <w:t xml:space="preserve">Успешно реализуется 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B76994">
        <w:rPr>
          <w:rFonts w:eastAsia="Calibri"/>
          <w:sz w:val="28"/>
          <w:szCs w:val="28"/>
          <w:lang w:eastAsia="en-US"/>
        </w:rPr>
        <w:t xml:space="preserve"> на БУДУЩЕЕ», </w:t>
      </w:r>
      <w:r w:rsidR="00553898" w:rsidRPr="00B76994">
        <w:rPr>
          <w:rFonts w:eastAsia="Calibri"/>
          <w:sz w:val="28"/>
          <w:szCs w:val="28"/>
          <w:lang w:eastAsia="en-US"/>
        </w:rPr>
        <w:t>созданный</w:t>
      </w:r>
      <w:r w:rsidRPr="00B76994">
        <w:rPr>
          <w:rFonts w:eastAsia="Calibri"/>
          <w:sz w:val="28"/>
          <w:szCs w:val="28"/>
          <w:lang w:eastAsia="en-US"/>
        </w:rPr>
        <w:t xml:space="preserve"> в сотрудничестве с ООО «</w:t>
      </w:r>
      <w:proofErr w:type="spellStart"/>
      <w:r w:rsidRPr="00B7699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B76994">
        <w:rPr>
          <w:rFonts w:eastAsia="Calibri"/>
          <w:sz w:val="28"/>
          <w:szCs w:val="28"/>
          <w:lang w:eastAsia="en-US"/>
        </w:rPr>
        <w:t>».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</w:t>
      </w:r>
      <w:r w:rsidRPr="00B76994">
        <w:rPr>
          <w:rFonts w:eastAsia="Calibri"/>
          <w:sz w:val="28"/>
          <w:szCs w:val="28"/>
          <w:lang w:eastAsia="en-US"/>
        </w:rPr>
        <w:lastRenderedPageBreak/>
        <w:t xml:space="preserve">поддержки детей, проявивших выдающиеся способности, на базе МБУ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Дом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699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B76994">
        <w:rPr>
          <w:rFonts w:eastAsia="Calibri"/>
          <w:sz w:val="28"/>
          <w:szCs w:val="28"/>
          <w:lang w:eastAsia="en-US"/>
        </w:rPr>
        <w:t>Дом</w:t>
      </w:r>
      <w:proofErr w:type="gramEnd"/>
      <w:r w:rsidRPr="00B7699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i/>
          <w:sz w:val="28"/>
          <w:szCs w:val="28"/>
        </w:rPr>
        <w:t>Региональный проект «</w:t>
      </w:r>
      <w:r w:rsidRPr="00B76994">
        <w:rPr>
          <w:bCs/>
          <w:i/>
          <w:iCs/>
          <w:sz w:val="28"/>
          <w:szCs w:val="28"/>
        </w:rPr>
        <w:t>Поддержка семей, имеющих детей»</w:t>
      </w:r>
    </w:p>
    <w:p w:rsidR="00FE2710" w:rsidRPr="00B76994" w:rsidRDefault="00FE271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B76994">
        <w:rPr>
          <w:bCs/>
          <w:iCs/>
          <w:sz w:val="28"/>
          <w:szCs w:val="28"/>
        </w:rPr>
        <w:t>лекотеки</w:t>
      </w:r>
      <w:proofErr w:type="spellEnd"/>
      <w:r w:rsidRPr="00B7699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FE2710" w:rsidRPr="00B76994" w:rsidRDefault="00FE271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В рамках реализации проекта 8 дошкольных образовательных организаций (53%)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FE2710" w:rsidRPr="00B76994" w:rsidRDefault="00FE271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B76994">
        <w:rPr>
          <w:bCs/>
          <w:iCs/>
          <w:sz w:val="28"/>
          <w:szCs w:val="28"/>
        </w:rPr>
        <w:t>компетентносного</w:t>
      </w:r>
      <w:proofErr w:type="spellEnd"/>
      <w:r w:rsidRPr="00B7699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B76994">
        <w:rPr>
          <w:bCs/>
          <w:iCs/>
          <w:sz w:val="28"/>
          <w:szCs w:val="28"/>
        </w:rPr>
        <w:t>Инклюверсариум</w:t>
      </w:r>
      <w:proofErr w:type="spellEnd"/>
      <w:r w:rsidRPr="00B76994">
        <w:rPr>
          <w:bCs/>
          <w:iCs/>
          <w:sz w:val="28"/>
          <w:szCs w:val="28"/>
        </w:rPr>
        <w:t>».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76994">
        <w:rPr>
          <w:color w:val="000000" w:themeColor="text1"/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76994">
        <w:rPr>
          <w:color w:val="000000" w:themeColor="text1"/>
          <w:sz w:val="28"/>
          <w:szCs w:val="28"/>
        </w:rPr>
        <w:t>контента</w:t>
      </w:r>
      <w:proofErr w:type="spellEnd"/>
      <w:r w:rsidRPr="00B76994">
        <w:rPr>
          <w:color w:val="000000" w:themeColor="text1"/>
          <w:sz w:val="28"/>
          <w:szCs w:val="28"/>
        </w:rPr>
        <w:t xml:space="preserve"> для образовательной деятельности.</w:t>
      </w:r>
    </w:p>
    <w:p w:rsidR="00CE077A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>Для решения задачи по созданию к 2024 году современной и безопасной цифровой образовательной среды, обеспечивающей высокое качество и доступность образования всех видов и уровней,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CE077A" w:rsidRPr="00B76994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</w:t>
      </w:r>
      <w:r w:rsidRPr="00B76994">
        <w:rPr>
          <w:bCs/>
          <w:iCs/>
          <w:color w:val="000000" w:themeColor="text1"/>
          <w:sz w:val="28"/>
          <w:szCs w:val="28"/>
        </w:rPr>
        <w:lastRenderedPageBreak/>
        <w:t xml:space="preserve">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хостинга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>.</w:t>
      </w:r>
      <w:r w:rsidRPr="00B76994">
        <w:rPr>
          <w:color w:val="000000" w:themeColor="text1"/>
          <w:sz w:val="28"/>
          <w:szCs w:val="28"/>
        </w:rPr>
        <w:t xml:space="preserve"> 100% общеобразовательных организаций являются участниками </w:t>
      </w:r>
      <w:proofErr w:type="spellStart"/>
      <w:r w:rsidRPr="00B76994">
        <w:rPr>
          <w:color w:val="000000" w:themeColor="text1"/>
          <w:sz w:val="28"/>
          <w:szCs w:val="28"/>
        </w:rPr>
        <w:t>пилотного</w:t>
      </w:r>
      <w:proofErr w:type="spellEnd"/>
      <w:r w:rsidRPr="00B76994">
        <w:rPr>
          <w:color w:val="000000" w:themeColor="text1"/>
          <w:sz w:val="28"/>
          <w:szCs w:val="28"/>
        </w:rPr>
        <w:t xml:space="preserve"> </w:t>
      </w:r>
      <w:r w:rsidRPr="00B76994">
        <w:rPr>
          <w:rStyle w:val="markedcontent"/>
          <w:color w:val="000000" w:themeColor="text1"/>
          <w:sz w:val="28"/>
          <w:szCs w:val="28"/>
        </w:rPr>
        <w:t>проекта «</w:t>
      </w:r>
      <w:proofErr w:type="spellStart"/>
      <w:r w:rsidRPr="00B76994">
        <w:rPr>
          <w:rStyle w:val="markedcontent"/>
          <w:color w:val="000000" w:themeColor="text1"/>
          <w:sz w:val="28"/>
          <w:szCs w:val="28"/>
        </w:rPr>
        <w:t>Гос</w:t>
      </w:r>
      <w:proofErr w:type="gramStart"/>
      <w:r w:rsidRPr="00B76994">
        <w:rPr>
          <w:rStyle w:val="markedcontent"/>
          <w:color w:val="000000" w:themeColor="text1"/>
          <w:sz w:val="28"/>
          <w:szCs w:val="28"/>
        </w:rPr>
        <w:t>Web</w:t>
      </w:r>
      <w:proofErr w:type="spellEnd"/>
      <w:proofErr w:type="gramEnd"/>
      <w:r w:rsidRPr="00B76994">
        <w:rPr>
          <w:rStyle w:val="markedcontent"/>
          <w:color w:val="000000" w:themeColor="text1"/>
          <w:sz w:val="28"/>
          <w:szCs w:val="28"/>
        </w:rPr>
        <w:t>»</w:t>
      </w:r>
      <w:r w:rsidRPr="00B76994">
        <w:rPr>
          <w:color w:val="000000" w:themeColor="text1"/>
          <w:sz w:val="28"/>
          <w:szCs w:val="28"/>
        </w:rPr>
        <w:t xml:space="preserve"> (</w:t>
      </w:r>
      <w:r w:rsidRPr="00B76994">
        <w:rPr>
          <w:rStyle w:val="markedcontent"/>
          <w:color w:val="000000" w:themeColor="text1"/>
          <w:sz w:val="28"/>
          <w:szCs w:val="28"/>
        </w:rPr>
        <w:t>опытно-промышленная эксплуатация конструктора сайтов на базе единого</w:t>
      </w:r>
      <w:r w:rsidRPr="00B76994">
        <w:rPr>
          <w:color w:val="000000" w:themeColor="text1"/>
          <w:sz w:val="28"/>
          <w:szCs w:val="28"/>
        </w:rPr>
        <w:t xml:space="preserve"> </w:t>
      </w:r>
      <w:r w:rsidRPr="00B76994">
        <w:rPr>
          <w:rStyle w:val="markedcontent"/>
          <w:color w:val="000000" w:themeColor="text1"/>
          <w:sz w:val="28"/>
          <w:szCs w:val="28"/>
        </w:rPr>
        <w:t>портала государственных и муниципальных услуг).</w:t>
      </w:r>
    </w:p>
    <w:p w:rsidR="00CE077A" w:rsidRPr="00B76994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 (ГИС Образование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)» внедрена в 100% образовательных организаций. В 2021-2022 учебном году в системе ЦОП «ГИС Образование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>» запущены два новых модуля «Личный кабинет родителя», где родители (законные представители) могут принимать участие в образовательном процессе своего ребёнка и «Школьное питание», которое обеспечивает автоматизацию всех процессов организации питания, а также четырёхступенчатую систему контроля качества питания. Ведется разработка модуля «Безопасность», внедрение которого позволит обеспечить комплексный анализ всех входных групп образовательных организаций.</w:t>
      </w:r>
    </w:p>
    <w:p w:rsidR="00CE077A" w:rsidRPr="00B76994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proofErr w:type="gramStart"/>
      <w:r w:rsidRPr="00B76994">
        <w:rPr>
          <w:bCs/>
          <w:iCs/>
          <w:color w:val="000000" w:themeColor="text1"/>
          <w:sz w:val="28"/>
          <w:szCs w:val="28"/>
        </w:rPr>
        <w:t xml:space="preserve">В соответствии с распоряжением Правительства Ханты-Мансийского автономного округа –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Югры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 от 05.07.2019 № 356-рп 13 общеобразовательных организаций (86,66%) включены в реализацию региональной составляющей федерального проекта «Цифровая образовательная среда», в которых выполнена поставка оборудования, приобретенного за счет средств федерального бюджета для внедрения целевой модели цифровой образовательной среды (в МБОУ «СОШ № 3 им.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>», МБОУ «СОШ № 6» поставка оборудования планируется в 2024</w:t>
      </w:r>
      <w:proofErr w:type="gramEnd"/>
      <w:r w:rsidRPr="00B76994">
        <w:rPr>
          <w:bCs/>
          <w:iCs/>
          <w:color w:val="000000" w:themeColor="text1"/>
          <w:sz w:val="28"/>
          <w:szCs w:val="28"/>
        </w:rPr>
        <w:t xml:space="preserve"> году).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 xml:space="preserve">В МБОУ «СОШ № 2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им.А.И.Исаевой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ooltip="Prikaz SHIBC.pdf" w:history="1">
        <w:r w:rsidRPr="00B76994">
          <w:rPr>
            <w:bCs/>
            <w:iCs/>
            <w:color w:val="000000" w:themeColor="text1"/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B76994">
          <w:rPr>
            <w:bCs/>
            <w:iCs/>
            <w:color w:val="000000" w:themeColor="text1"/>
            <w:sz w:val="28"/>
            <w:szCs w:val="28"/>
          </w:rPr>
          <w:t>организаци</w:t>
        </w:r>
      </w:hyperlink>
      <w:r w:rsidRPr="00B76994">
        <w:rPr>
          <w:bCs/>
          <w:iCs/>
          <w:color w:val="000000" w:themeColor="text1"/>
          <w:sz w:val="28"/>
          <w:szCs w:val="28"/>
        </w:rPr>
        <w:t>ях</w:t>
      </w:r>
      <w:proofErr w:type="gramEnd"/>
      <w:r w:rsidRPr="00B76994">
        <w:rPr>
          <w:bCs/>
          <w:iCs/>
          <w:color w:val="000000" w:themeColor="text1"/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76994">
        <w:rPr>
          <w:bCs/>
          <w:iCs/>
          <w:color w:val="000000" w:themeColor="text1"/>
          <w:sz w:val="28"/>
          <w:szCs w:val="28"/>
        </w:rPr>
        <w:t>А.А.Ивасенко</w:t>
      </w:r>
      <w:proofErr w:type="spellEnd"/>
      <w:r w:rsidRPr="00B76994">
        <w:rPr>
          <w:bCs/>
          <w:iCs/>
          <w:color w:val="000000" w:themeColor="text1"/>
          <w:sz w:val="28"/>
          <w:szCs w:val="28"/>
        </w:rPr>
        <w:t>», МБОУ «СОШ №10», МБОУ «СОШ       № 13». В МБОУ «СОШ № 13» организована деятельность 100-ого филиала Президентской библиотеки.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76994">
        <w:rPr>
          <w:bCs/>
          <w:iCs/>
          <w:color w:val="000000" w:themeColor="text1"/>
          <w:sz w:val="28"/>
          <w:szCs w:val="28"/>
        </w:rPr>
        <w:t>В 100% общеобразовательных организаций осуществляется электронное</w:t>
      </w:r>
      <w:r w:rsidRPr="00B76994">
        <w:rPr>
          <w:color w:val="000000" w:themeColor="text1"/>
          <w:sz w:val="28"/>
          <w:szCs w:val="28"/>
        </w:rPr>
        <w:t xml:space="preserve"> обучение учащихся с применением дистанционных образовательных технологий через образовательные платформы «Цифровая образовательная платформа </w:t>
      </w:r>
      <w:proofErr w:type="spellStart"/>
      <w:r w:rsidRPr="00B76994">
        <w:rPr>
          <w:color w:val="000000" w:themeColor="text1"/>
          <w:sz w:val="28"/>
          <w:szCs w:val="28"/>
        </w:rPr>
        <w:t>ХМАО-Югры</w:t>
      </w:r>
      <w:proofErr w:type="spellEnd"/>
      <w:r w:rsidRPr="00B76994">
        <w:rPr>
          <w:color w:val="000000" w:themeColor="text1"/>
          <w:sz w:val="28"/>
          <w:szCs w:val="28"/>
        </w:rPr>
        <w:t>», «</w:t>
      </w:r>
      <w:proofErr w:type="spellStart"/>
      <w:r w:rsidRPr="00B76994">
        <w:rPr>
          <w:color w:val="000000" w:themeColor="text1"/>
          <w:sz w:val="28"/>
          <w:szCs w:val="28"/>
        </w:rPr>
        <w:t>Учи</w:t>
      </w:r>
      <w:proofErr w:type="gramStart"/>
      <w:r w:rsidRPr="00B76994">
        <w:rPr>
          <w:color w:val="000000" w:themeColor="text1"/>
          <w:sz w:val="28"/>
          <w:szCs w:val="28"/>
        </w:rPr>
        <w:t>.Р</w:t>
      </w:r>
      <w:proofErr w:type="gramEnd"/>
      <w:r w:rsidRPr="00B76994">
        <w:rPr>
          <w:color w:val="000000" w:themeColor="text1"/>
          <w:sz w:val="28"/>
          <w:szCs w:val="28"/>
        </w:rPr>
        <w:t>у</w:t>
      </w:r>
      <w:proofErr w:type="spellEnd"/>
      <w:r w:rsidRPr="00B76994">
        <w:rPr>
          <w:color w:val="000000" w:themeColor="text1"/>
          <w:sz w:val="28"/>
          <w:szCs w:val="28"/>
        </w:rPr>
        <w:t>», «</w:t>
      </w:r>
      <w:proofErr w:type="spellStart"/>
      <w:r w:rsidRPr="00B76994">
        <w:rPr>
          <w:color w:val="000000" w:themeColor="text1"/>
          <w:sz w:val="28"/>
          <w:szCs w:val="28"/>
        </w:rPr>
        <w:t>ЯКласс</w:t>
      </w:r>
      <w:proofErr w:type="spellEnd"/>
      <w:r w:rsidRPr="00B76994">
        <w:rPr>
          <w:color w:val="000000" w:themeColor="text1"/>
          <w:sz w:val="28"/>
          <w:szCs w:val="28"/>
        </w:rPr>
        <w:t>», «Российская электронная школа», «Мобильное электронное образование», «Решу ЕГЭ», «Решу ОГЭ» и др.</w:t>
      </w:r>
    </w:p>
    <w:p w:rsidR="000738EF" w:rsidRPr="00B76994" w:rsidRDefault="00CE077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B76994">
        <w:rPr>
          <w:color w:val="000000" w:themeColor="text1"/>
          <w:sz w:val="28"/>
          <w:szCs w:val="28"/>
        </w:rPr>
        <w:t>3 общеобразовательных организации</w:t>
      </w:r>
      <w:r w:rsidR="000738EF" w:rsidRPr="00B76994">
        <w:rPr>
          <w:color w:val="000000" w:themeColor="text1"/>
          <w:sz w:val="28"/>
          <w:szCs w:val="28"/>
        </w:rPr>
        <w:t xml:space="preserve"> участвуют в реализации </w:t>
      </w:r>
      <w:proofErr w:type="spellStart"/>
      <w:r w:rsidR="000738EF" w:rsidRPr="00B76994">
        <w:rPr>
          <w:color w:val="000000" w:themeColor="text1"/>
          <w:sz w:val="28"/>
          <w:szCs w:val="28"/>
        </w:rPr>
        <w:t>пилотного</w:t>
      </w:r>
      <w:proofErr w:type="spellEnd"/>
      <w:r w:rsidR="000738EF" w:rsidRPr="00B76994">
        <w:rPr>
          <w:color w:val="000000" w:themeColor="text1"/>
          <w:sz w:val="28"/>
          <w:szCs w:val="28"/>
        </w:rPr>
        <w:t xml:space="preserve"> проекта «Школьная цифровая платформа» ПАО «Сбербанк» России».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bCs/>
          <w:i/>
          <w:iCs/>
          <w:sz w:val="28"/>
          <w:szCs w:val="28"/>
        </w:rPr>
        <w:t>Региональный проект «Социальная активность»</w:t>
      </w:r>
    </w:p>
    <w:p w:rsidR="000C60BF" w:rsidRPr="00B76994" w:rsidRDefault="000C60B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Для вовлечения к 2024 году не менее 0,0171 млн. чел. (17 100 чел.) </w:t>
      </w:r>
      <w:r w:rsidRPr="00B76994">
        <w:rPr>
          <w:bCs/>
          <w:iCs/>
          <w:sz w:val="28"/>
          <w:szCs w:val="28"/>
        </w:rPr>
        <w:lastRenderedPageBreak/>
        <w:t xml:space="preserve">граждан города в деятельность волонтерских и добровольческих объединений, осуществляется работа по развитию добровольческого движения города </w:t>
      </w:r>
      <w:r w:rsidRPr="00B76994">
        <w:rPr>
          <w:rFonts w:eastAsia="Calibri"/>
          <w:sz w:val="28"/>
          <w:szCs w:val="28"/>
          <w:lang w:eastAsia="en-US"/>
        </w:rPr>
        <w:t xml:space="preserve">(исполнение показателя в настоящее время – </w:t>
      </w:r>
      <w:r w:rsidR="00265A99" w:rsidRPr="00B76994">
        <w:rPr>
          <w:rFonts w:eastAsia="Calibri"/>
          <w:sz w:val="28"/>
          <w:szCs w:val="28"/>
          <w:lang w:eastAsia="en-US"/>
        </w:rPr>
        <w:t>12 950</w:t>
      </w:r>
      <w:r w:rsidRPr="00B76994">
        <w:rPr>
          <w:rFonts w:eastAsia="Calibri"/>
          <w:sz w:val="28"/>
          <w:szCs w:val="28"/>
          <w:lang w:eastAsia="en-US"/>
        </w:rPr>
        <w:t xml:space="preserve"> чел., план 2022 г. – 16 900 чел.). </w:t>
      </w:r>
      <w:r w:rsidRPr="00B76994">
        <w:rPr>
          <w:bCs/>
          <w:iCs/>
          <w:sz w:val="28"/>
          <w:szCs w:val="28"/>
        </w:rPr>
        <w:t xml:space="preserve">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На территории г</w:t>
      </w:r>
      <w:proofErr w:type="gramStart"/>
      <w:r w:rsidRPr="00B76994">
        <w:rPr>
          <w:bCs/>
          <w:iCs/>
          <w:sz w:val="28"/>
          <w:szCs w:val="28"/>
        </w:rPr>
        <w:t>.Н</w:t>
      </w:r>
      <w:proofErr w:type="gramEnd"/>
      <w:r w:rsidRPr="00B76994">
        <w:rPr>
          <w:bCs/>
          <w:iCs/>
          <w:sz w:val="28"/>
          <w:szCs w:val="28"/>
        </w:rPr>
        <w:t xml:space="preserve">ефтеюганска организована работа Координационного центра по развитию добровольчества в молодежной среде г. Нефтеюганска, 16 школьных волонтерских площадок, муниципального штаба Всероссийского общественного движения «Волонтеры Победы», городской волонтёрской площадки «Доброе сердце», оперативного Штаба по взаимодействию с добровольцами (волонтерами) готовыми к участию в профилактических мероприятиях и мерах по оказанию помощи гражданам, находящимся в зоне риска (пожилые граждане старше 65 лет). Осуществляется взаимодействие с АНО «Ресурсный добровольческий центр «Сердце </w:t>
      </w:r>
      <w:proofErr w:type="spellStart"/>
      <w:r w:rsidRPr="00B76994">
        <w:rPr>
          <w:bCs/>
          <w:iCs/>
          <w:sz w:val="28"/>
          <w:szCs w:val="28"/>
        </w:rPr>
        <w:t>Югры</w:t>
      </w:r>
      <w:proofErr w:type="spellEnd"/>
      <w:r w:rsidRPr="00B76994">
        <w:rPr>
          <w:bCs/>
          <w:iCs/>
          <w:sz w:val="28"/>
          <w:szCs w:val="28"/>
        </w:rPr>
        <w:t xml:space="preserve">». </w:t>
      </w:r>
    </w:p>
    <w:p w:rsidR="000C60BF" w:rsidRPr="00B76994" w:rsidRDefault="000C60B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2 805 человек  молодёжи вовлечены в творческие мероприятия,  форумы различного уровня, в том числе фестивали.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Реализуется программа для добровольцев «Найди меня» (поиск пропавших людей), проводятся обучающие семинары «Особенные люди». Организовано проведение благотворительных акций «Неделя добра», «Собери ребенка в школу», «Уроки добра», в том числе мероприятий, направленных на профилактику негативных явлений в молодёжной среде. В 2021 году 16 8</w:t>
      </w:r>
      <w:r w:rsidR="005320BE" w:rsidRPr="00B76994">
        <w:rPr>
          <w:bCs/>
          <w:iCs/>
          <w:sz w:val="28"/>
          <w:szCs w:val="28"/>
        </w:rPr>
        <w:t>3</w:t>
      </w:r>
      <w:r w:rsidRPr="00B76994">
        <w:rPr>
          <w:bCs/>
          <w:iCs/>
          <w:sz w:val="28"/>
          <w:szCs w:val="28"/>
        </w:rPr>
        <w:t xml:space="preserve">0 граждан </w:t>
      </w:r>
      <w:proofErr w:type="gramStart"/>
      <w:r w:rsidRPr="00B76994">
        <w:rPr>
          <w:bCs/>
          <w:iCs/>
          <w:sz w:val="28"/>
          <w:szCs w:val="28"/>
        </w:rPr>
        <w:t>вовлечены</w:t>
      </w:r>
      <w:proofErr w:type="gramEnd"/>
      <w:r w:rsidRPr="00B76994">
        <w:rPr>
          <w:bCs/>
          <w:iCs/>
          <w:sz w:val="28"/>
          <w:szCs w:val="28"/>
        </w:rPr>
        <w:t xml:space="preserve"> в указанную деятельность. </w:t>
      </w:r>
    </w:p>
    <w:p w:rsidR="000738EF" w:rsidRPr="00B76994" w:rsidRDefault="0053218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Планируется</w:t>
      </w:r>
      <w:r w:rsidR="000738EF" w:rsidRPr="00B76994">
        <w:rPr>
          <w:bCs/>
          <w:iCs/>
          <w:sz w:val="28"/>
          <w:szCs w:val="28"/>
        </w:rPr>
        <w:t xml:space="preserve"> участие </w:t>
      </w:r>
      <w:r w:rsidRPr="00B76994">
        <w:rPr>
          <w:bCs/>
          <w:iCs/>
          <w:sz w:val="28"/>
          <w:szCs w:val="28"/>
        </w:rPr>
        <w:t>не менее 13 000</w:t>
      </w:r>
      <w:r w:rsidR="000738EF" w:rsidRPr="00B76994">
        <w:rPr>
          <w:bCs/>
          <w:iCs/>
          <w:sz w:val="28"/>
          <w:szCs w:val="28"/>
        </w:rPr>
        <w:t xml:space="preserve"> человек молодёжи в мероприятиях и форумах различного уровня,</w:t>
      </w:r>
      <w:r w:rsidRPr="00B76994">
        <w:rPr>
          <w:bCs/>
          <w:iCs/>
          <w:sz w:val="28"/>
          <w:szCs w:val="28"/>
        </w:rPr>
        <w:t xml:space="preserve"> в том числе фестивале</w:t>
      </w:r>
      <w:r w:rsidR="000738EF" w:rsidRPr="00B76994">
        <w:rPr>
          <w:bCs/>
          <w:iCs/>
          <w:sz w:val="28"/>
          <w:szCs w:val="28"/>
        </w:rPr>
        <w:t xml:space="preserve"> работающей молодежи «Стимул», фестивал</w:t>
      </w:r>
      <w:r w:rsidRPr="00B76994">
        <w:rPr>
          <w:bCs/>
          <w:iCs/>
          <w:sz w:val="28"/>
          <w:szCs w:val="28"/>
        </w:rPr>
        <w:t>е</w:t>
      </w:r>
      <w:r w:rsidR="000738EF" w:rsidRPr="00B76994">
        <w:rPr>
          <w:bCs/>
          <w:iCs/>
          <w:sz w:val="28"/>
          <w:szCs w:val="28"/>
        </w:rPr>
        <w:t xml:space="preserve"> молодежных инициатив «Нефтеюганск молодой!»</w:t>
      </w:r>
      <w:r w:rsidRPr="00B76994">
        <w:rPr>
          <w:bCs/>
          <w:iCs/>
          <w:sz w:val="28"/>
          <w:szCs w:val="28"/>
        </w:rPr>
        <w:t xml:space="preserve"> и др</w:t>
      </w:r>
      <w:proofErr w:type="gramStart"/>
      <w:r w:rsidRPr="00B76994">
        <w:rPr>
          <w:bCs/>
          <w:iCs/>
          <w:sz w:val="28"/>
          <w:szCs w:val="28"/>
        </w:rPr>
        <w:t>.</w:t>
      </w:r>
      <w:r w:rsidR="000738EF" w:rsidRPr="00B76994">
        <w:rPr>
          <w:bCs/>
          <w:iCs/>
          <w:sz w:val="28"/>
          <w:szCs w:val="28"/>
        </w:rPr>
        <w:t>.</w:t>
      </w:r>
      <w:proofErr w:type="gramEnd"/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Реализуются мероприятия в рамках городского проекта «Здоровое поколение 21 века».</w:t>
      </w:r>
      <w:r w:rsidRPr="00B76994">
        <w:rPr>
          <w:sz w:val="28"/>
          <w:szCs w:val="28"/>
        </w:rPr>
        <w:t xml:space="preserve"> Р</w:t>
      </w:r>
      <w:r w:rsidRPr="00B76994">
        <w:rPr>
          <w:bCs/>
          <w:iCs/>
          <w:sz w:val="28"/>
          <w:szCs w:val="28"/>
        </w:rPr>
        <w:t xml:space="preserve">еализуется план основных мероприятий в рамках проведения «Десятилетия детства».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В МБОУ «Средняя общеобразовательная кадетская школа № 4» реализуются воспитательные практики кадетского образования. На протяжении нескольких лет школа становится победителем </w:t>
      </w:r>
      <w:r w:rsidRPr="00B76994">
        <w:rPr>
          <w:sz w:val="28"/>
          <w:szCs w:val="28"/>
        </w:rPr>
        <w:t>регионального этапа смотра-конкурса на звание «Лучший казачий кадетский класс Уральского федерального округа», регионального этапа Всероссийской военно-спортивной игры «Казачий Сполох» (2018</w:t>
      </w:r>
      <w:r w:rsidR="005320BE" w:rsidRPr="00B76994">
        <w:rPr>
          <w:sz w:val="28"/>
          <w:szCs w:val="28"/>
        </w:rPr>
        <w:t xml:space="preserve"> г.</w:t>
      </w:r>
      <w:r w:rsidRPr="00B76994">
        <w:rPr>
          <w:sz w:val="28"/>
          <w:szCs w:val="28"/>
        </w:rPr>
        <w:t>, 2019</w:t>
      </w:r>
      <w:r w:rsidR="005320BE" w:rsidRPr="00B76994">
        <w:rPr>
          <w:sz w:val="28"/>
          <w:szCs w:val="28"/>
        </w:rPr>
        <w:t xml:space="preserve"> г.</w:t>
      </w:r>
      <w:r w:rsidRPr="00B76994">
        <w:rPr>
          <w:sz w:val="28"/>
          <w:szCs w:val="28"/>
        </w:rPr>
        <w:t>, 2020</w:t>
      </w:r>
      <w:r w:rsidR="005320BE" w:rsidRPr="00B76994">
        <w:rPr>
          <w:sz w:val="28"/>
          <w:szCs w:val="28"/>
        </w:rPr>
        <w:t xml:space="preserve"> г.</w:t>
      </w:r>
      <w:r w:rsidRPr="00B76994">
        <w:rPr>
          <w:sz w:val="28"/>
          <w:szCs w:val="28"/>
        </w:rPr>
        <w:t>, 2021</w:t>
      </w:r>
      <w:r w:rsidR="005320BE" w:rsidRPr="00B76994">
        <w:rPr>
          <w:sz w:val="28"/>
          <w:szCs w:val="28"/>
        </w:rPr>
        <w:t xml:space="preserve"> г.</w:t>
      </w:r>
      <w:r w:rsidRPr="00B76994">
        <w:rPr>
          <w:sz w:val="28"/>
          <w:szCs w:val="28"/>
        </w:rPr>
        <w:t>) и подтверждает эти результаты на всероссийском уровне.</w:t>
      </w:r>
    </w:p>
    <w:p w:rsidR="000738EF" w:rsidRPr="00B76994" w:rsidRDefault="0053218A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994">
        <w:rPr>
          <w:rFonts w:eastAsia="Calibri"/>
          <w:color w:val="000000" w:themeColor="text1"/>
          <w:sz w:val="28"/>
          <w:szCs w:val="28"/>
        </w:rPr>
        <w:t xml:space="preserve">Не менее </w:t>
      </w:r>
      <w:r w:rsidR="000C60BF" w:rsidRPr="00B76994">
        <w:rPr>
          <w:rFonts w:eastAsia="Calibri"/>
          <w:color w:val="000000" w:themeColor="text1"/>
          <w:sz w:val="28"/>
          <w:szCs w:val="28"/>
        </w:rPr>
        <w:t>2100</w:t>
      </w:r>
      <w:r w:rsidRPr="00B76994">
        <w:rPr>
          <w:rFonts w:eastAsia="Calibri"/>
          <w:color w:val="000000" w:themeColor="text1"/>
          <w:sz w:val="28"/>
          <w:szCs w:val="28"/>
        </w:rPr>
        <w:t xml:space="preserve"> </w:t>
      </w:r>
      <w:r w:rsidR="000738EF" w:rsidRPr="00B76994">
        <w:rPr>
          <w:bCs/>
          <w:iCs/>
          <w:sz w:val="28"/>
          <w:szCs w:val="28"/>
        </w:rPr>
        <w:t xml:space="preserve">учащихся </w:t>
      </w:r>
      <w:proofErr w:type="gramStart"/>
      <w:r w:rsidR="000738EF" w:rsidRPr="00B76994">
        <w:rPr>
          <w:bCs/>
          <w:iCs/>
          <w:sz w:val="28"/>
          <w:szCs w:val="28"/>
        </w:rPr>
        <w:t>вовлечены</w:t>
      </w:r>
      <w:proofErr w:type="gramEnd"/>
      <w:r w:rsidR="000738EF" w:rsidRPr="00B76994">
        <w:rPr>
          <w:bCs/>
          <w:iCs/>
          <w:sz w:val="28"/>
          <w:szCs w:val="28"/>
        </w:rPr>
        <w:t xml:space="preserve"> в деятельность детских и молодёжных общественных объединений: Российское движение школьников, «Клуб менеджеров «Новая цивилизация» и др., организована деятельность федеральной опорной площадки – МБОУ «СОШ № 5 «Многопрофильная», к участию в движении подключено 100% общеобразовательных организаций города. </w:t>
      </w:r>
    </w:p>
    <w:p w:rsidR="00C54C6F" w:rsidRPr="00B76994" w:rsidRDefault="00C54C6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76994">
        <w:rPr>
          <w:bCs/>
          <w:i/>
          <w:iCs/>
          <w:sz w:val="28"/>
          <w:szCs w:val="28"/>
        </w:rPr>
        <w:t>Региональный проект «Патриотическое воспитание»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B76994">
        <w:rPr>
          <w:bCs/>
          <w:iCs/>
          <w:sz w:val="28"/>
          <w:szCs w:val="28"/>
        </w:rPr>
        <w:t>межпоколенческого</w:t>
      </w:r>
      <w:proofErr w:type="spellEnd"/>
      <w:r w:rsidRPr="00B7699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</w:t>
      </w:r>
      <w:r w:rsidRPr="00B76994">
        <w:rPr>
          <w:bCs/>
          <w:iCs/>
          <w:sz w:val="28"/>
          <w:szCs w:val="28"/>
        </w:rPr>
        <w:lastRenderedPageBreak/>
        <w:t>гражданское и патриотическое воспитание детей и молодежи.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B7699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B76994">
        <w:rPr>
          <w:bCs/>
          <w:iCs/>
          <w:sz w:val="28"/>
          <w:szCs w:val="28"/>
        </w:rPr>
        <w:t>Юнармия</w:t>
      </w:r>
      <w:proofErr w:type="spellEnd"/>
      <w:r w:rsidRPr="00B76994">
        <w:rPr>
          <w:bCs/>
          <w:iCs/>
          <w:sz w:val="28"/>
          <w:szCs w:val="28"/>
        </w:rPr>
        <w:t>» на базе МБУ ДО «ДДТ»</w:t>
      </w:r>
      <w:r w:rsidR="000C60BF" w:rsidRPr="00B76994">
        <w:rPr>
          <w:color w:val="000000" w:themeColor="text1"/>
          <w:sz w:val="28"/>
          <w:szCs w:val="28"/>
        </w:rPr>
        <w:t>, в которое принято 727</w:t>
      </w:r>
      <w:r w:rsidRPr="00B76994">
        <w:rPr>
          <w:color w:val="000000" w:themeColor="text1"/>
          <w:sz w:val="28"/>
          <w:szCs w:val="28"/>
        </w:rPr>
        <w:t xml:space="preserve"> человек детей и молодежи. </w:t>
      </w:r>
      <w:r w:rsidRPr="00B7699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0738EF" w:rsidRPr="00B76994" w:rsidRDefault="000738EF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614B50" w:rsidRPr="00B76994" w:rsidRDefault="00614B50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B76994">
        <w:rPr>
          <w:bCs/>
          <w:iCs/>
          <w:sz w:val="28"/>
          <w:szCs w:val="28"/>
        </w:rPr>
        <w:t xml:space="preserve">Организовано участие обучающихся в городских мероприятиях,  Всероссийских проектах и акциях:  </w:t>
      </w:r>
      <w:r w:rsidRPr="00B76994">
        <w:rPr>
          <w:sz w:val="28"/>
          <w:szCs w:val="28"/>
        </w:rPr>
        <w:t xml:space="preserve">мероприятия, посвящённые Дню Защитника Отечества; муниципальный смотр строя и песни среди обучающихся образовательных организаций города; проект </w:t>
      </w:r>
      <w:r w:rsidRPr="00B76994">
        <w:rPr>
          <w:bCs/>
          <w:iCs/>
          <w:sz w:val="28"/>
          <w:szCs w:val="28"/>
        </w:rPr>
        <w:t xml:space="preserve"> «Без срока давности»; акция «Блокадный хлеб»; </w:t>
      </w:r>
      <w:proofErr w:type="spellStart"/>
      <w:r w:rsidRPr="00B76994">
        <w:rPr>
          <w:bCs/>
          <w:iCs/>
          <w:sz w:val="28"/>
          <w:szCs w:val="28"/>
        </w:rPr>
        <w:t>квест</w:t>
      </w:r>
      <w:proofErr w:type="spellEnd"/>
      <w:r w:rsidRPr="00B76994">
        <w:rPr>
          <w:bCs/>
          <w:iCs/>
          <w:sz w:val="28"/>
          <w:szCs w:val="28"/>
        </w:rPr>
        <w:t xml:space="preserve"> «Сталинградская битва»;</w:t>
      </w:r>
      <w:r w:rsidRPr="00B76994">
        <w:rPr>
          <w:sz w:val="28"/>
          <w:szCs w:val="28"/>
        </w:rPr>
        <w:t xml:space="preserve"> </w:t>
      </w:r>
      <w:r w:rsidRPr="00B76994">
        <w:rPr>
          <w:bCs/>
          <w:iCs/>
          <w:sz w:val="28"/>
          <w:szCs w:val="28"/>
        </w:rPr>
        <w:t>акции «Посылка солдату»; «Бессмертный полк», «Свеча памяти» и др.</w:t>
      </w:r>
    </w:p>
    <w:p w:rsidR="00D31FCD" w:rsidRPr="00B76994" w:rsidRDefault="00D31FCD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B76994" w:rsidRDefault="00D31FCD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B76994" w:rsidRDefault="00D31FCD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B76994" w:rsidRDefault="00482CB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B76994" w:rsidRDefault="00482CB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B76994" w:rsidRDefault="00482CB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B76994" w:rsidRDefault="00482CB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B76994" w:rsidRDefault="00482CB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B76994" w:rsidRDefault="00D31FCD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482CB2" w:rsidRPr="00B76994" w:rsidRDefault="00482CB2" w:rsidP="00B76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  <w:sectPr w:rsidR="00482CB2" w:rsidRPr="00B76994" w:rsidSect="00482CB2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 w:rsidRPr="006962C0">
        <w:rPr>
          <w:sz w:val="28"/>
          <w:szCs w:val="28"/>
        </w:rPr>
        <w:lastRenderedPageBreak/>
        <w:t xml:space="preserve">Информация о реализации показателей национального проекта «Образование» за </w:t>
      </w:r>
      <w:r w:rsidR="002C5A6D">
        <w:rPr>
          <w:sz w:val="28"/>
          <w:szCs w:val="28"/>
        </w:rPr>
        <w:t>второй</w:t>
      </w:r>
      <w:r w:rsidRPr="006962C0">
        <w:rPr>
          <w:sz w:val="28"/>
          <w:szCs w:val="28"/>
        </w:rPr>
        <w:t xml:space="preserve"> квартал 2022 года</w:t>
      </w: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</w:p>
    <w:p w:rsidR="00D31FCD" w:rsidRPr="006962C0" w:rsidRDefault="00D31FCD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 w:rsidRPr="006962C0"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D31FCD" w:rsidRPr="006962C0" w:rsidRDefault="008C16F8" w:rsidP="00D31FC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Во втором </w:t>
      </w:r>
      <w:r w:rsidR="00D31FCD" w:rsidRPr="006962C0">
        <w:rPr>
          <w:rFonts w:eastAsia="Calibri"/>
          <w:sz w:val="28"/>
          <w:szCs w:val="28"/>
          <w:lang w:eastAsia="en-US"/>
        </w:rPr>
        <w:t>квартале 2022 году обеспечено исполнение показателей: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4925"/>
        <w:gridCol w:w="1560"/>
        <w:gridCol w:w="1701"/>
        <w:gridCol w:w="6378"/>
      </w:tblGrid>
      <w:tr w:rsidR="00D31FCD" w:rsidRPr="00B76994" w:rsidTr="00482CB2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D31FCD" w:rsidRPr="00B76994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B76994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76994">
              <w:rPr>
                <w:bCs/>
                <w:color w:val="000000"/>
              </w:rPr>
              <w:t>п</w:t>
            </w:r>
            <w:proofErr w:type="spellEnd"/>
            <w:proofErr w:type="gramEnd"/>
            <w:r w:rsidRPr="00B76994">
              <w:rPr>
                <w:bCs/>
                <w:color w:val="000000"/>
              </w:rPr>
              <w:t>/</w:t>
            </w:r>
            <w:proofErr w:type="spellStart"/>
            <w:r w:rsidRPr="00B76994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4925" w:type="dxa"/>
            <w:vMerge w:val="restart"/>
            <w:shd w:val="clear" w:color="auto" w:fill="auto"/>
            <w:hideMark/>
          </w:tcPr>
          <w:p w:rsidR="00D31FCD" w:rsidRPr="00B76994" w:rsidRDefault="00D31FCD" w:rsidP="007C7477">
            <w:pPr>
              <w:widowControl w:val="0"/>
              <w:jc w:val="both"/>
              <w:rPr>
                <w:bCs/>
                <w:color w:val="000000"/>
              </w:rPr>
            </w:pPr>
            <w:r w:rsidRPr="00B76994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261" w:type="dxa"/>
            <w:gridSpan w:val="2"/>
            <w:shd w:val="clear" w:color="auto" w:fill="auto"/>
            <w:hideMark/>
          </w:tcPr>
          <w:p w:rsidR="00482CB2" w:rsidRPr="00B76994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B76994">
              <w:rPr>
                <w:bCs/>
                <w:color w:val="000000"/>
              </w:rPr>
              <w:t>Значение показателя</w:t>
            </w:r>
            <w:r w:rsidR="00482CB2" w:rsidRPr="00B76994">
              <w:rPr>
                <w:bCs/>
                <w:color w:val="000000"/>
              </w:rPr>
              <w:t xml:space="preserve"> </w:t>
            </w:r>
          </w:p>
          <w:p w:rsidR="00D31FCD" w:rsidRPr="00B76994" w:rsidRDefault="00482CB2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B76994">
              <w:rPr>
                <w:bCs/>
                <w:color w:val="000000"/>
              </w:rPr>
              <w:t>на 2022 год</w:t>
            </w:r>
          </w:p>
        </w:tc>
        <w:tc>
          <w:tcPr>
            <w:tcW w:w="6378" w:type="dxa"/>
            <w:vMerge w:val="restart"/>
            <w:shd w:val="clear" w:color="auto" w:fill="auto"/>
            <w:hideMark/>
          </w:tcPr>
          <w:p w:rsidR="00D31FCD" w:rsidRPr="00B76994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B76994">
              <w:rPr>
                <w:bCs/>
                <w:color w:val="000000"/>
              </w:rPr>
              <w:t>Примечание</w:t>
            </w:r>
          </w:p>
        </w:tc>
      </w:tr>
      <w:tr w:rsidR="00D31FCD" w:rsidRPr="00B76994" w:rsidTr="00482CB2">
        <w:trPr>
          <w:trHeight w:val="420"/>
        </w:trPr>
        <w:tc>
          <w:tcPr>
            <w:tcW w:w="760" w:type="dxa"/>
            <w:vMerge/>
            <w:hideMark/>
          </w:tcPr>
          <w:p w:rsidR="00D31FCD" w:rsidRPr="00B76994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D31FCD" w:rsidRPr="00B76994" w:rsidRDefault="00D31FCD" w:rsidP="007C7477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D31FCD" w:rsidRPr="00B76994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B76994">
              <w:rPr>
                <w:bCs/>
                <w:color w:val="000000"/>
              </w:rPr>
              <w:t>план</w:t>
            </w:r>
          </w:p>
        </w:tc>
        <w:tc>
          <w:tcPr>
            <w:tcW w:w="1701" w:type="dxa"/>
            <w:shd w:val="clear" w:color="auto" w:fill="auto"/>
            <w:hideMark/>
          </w:tcPr>
          <w:p w:rsidR="00D31FCD" w:rsidRPr="00B76994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B76994">
              <w:rPr>
                <w:bCs/>
                <w:color w:val="000000"/>
              </w:rPr>
              <w:t>факт</w:t>
            </w:r>
          </w:p>
          <w:p w:rsidR="00482CB2" w:rsidRPr="00B76994" w:rsidRDefault="002C5A6D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B76994">
              <w:rPr>
                <w:bCs/>
                <w:color w:val="000000"/>
              </w:rPr>
              <w:t>2</w:t>
            </w:r>
            <w:r w:rsidR="00482CB2" w:rsidRPr="00B76994">
              <w:rPr>
                <w:bCs/>
                <w:color w:val="000000"/>
              </w:rPr>
              <w:t xml:space="preserve"> квартал</w:t>
            </w:r>
          </w:p>
        </w:tc>
        <w:tc>
          <w:tcPr>
            <w:tcW w:w="6378" w:type="dxa"/>
            <w:vMerge/>
            <w:hideMark/>
          </w:tcPr>
          <w:p w:rsidR="00D31FCD" w:rsidRPr="00B76994" w:rsidRDefault="00D31FCD" w:rsidP="007C7477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D31FCD" w:rsidRPr="00B76994" w:rsidTr="00482CB2">
        <w:trPr>
          <w:trHeight w:val="420"/>
        </w:trPr>
        <w:tc>
          <w:tcPr>
            <w:tcW w:w="760" w:type="dxa"/>
            <w:hideMark/>
          </w:tcPr>
          <w:p w:rsidR="00D31FCD" w:rsidRPr="00B76994" w:rsidRDefault="00D31FCD" w:rsidP="007C7477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B76994">
              <w:rPr>
                <w:bCs/>
                <w:i/>
                <w:color w:val="000000"/>
              </w:rPr>
              <w:t>1.</w:t>
            </w:r>
          </w:p>
        </w:tc>
        <w:tc>
          <w:tcPr>
            <w:tcW w:w="14564" w:type="dxa"/>
            <w:gridSpan w:val="4"/>
            <w:hideMark/>
          </w:tcPr>
          <w:p w:rsidR="00D31FCD" w:rsidRPr="00B76994" w:rsidRDefault="00D31FCD" w:rsidP="007C7477">
            <w:pPr>
              <w:widowControl w:val="0"/>
              <w:rPr>
                <w:bCs/>
                <w:i/>
                <w:color w:val="000000"/>
              </w:rPr>
            </w:pPr>
            <w:r w:rsidRPr="00B76994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D31FCD" w:rsidRPr="00B76994" w:rsidTr="00482CB2">
        <w:trPr>
          <w:trHeight w:val="675"/>
        </w:trPr>
        <w:tc>
          <w:tcPr>
            <w:tcW w:w="760" w:type="dxa"/>
            <w:shd w:val="clear" w:color="auto" w:fill="auto"/>
            <w:hideMark/>
          </w:tcPr>
          <w:p w:rsidR="00D31FCD" w:rsidRPr="00B76994" w:rsidRDefault="00D31FCD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1.1.</w:t>
            </w:r>
          </w:p>
        </w:tc>
        <w:tc>
          <w:tcPr>
            <w:tcW w:w="4925" w:type="dxa"/>
            <w:shd w:val="clear" w:color="auto" w:fill="auto"/>
            <w:hideMark/>
          </w:tcPr>
          <w:p w:rsidR="00982A5C" w:rsidRPr="00B76994" w:rsidRDefault="00D31FCD" w:rsidP="007C7477">
            <w:pPr>
              <w:widowControl w:val="0"/>
              <w:jc w:val="both"/>
            </w:pPr>
            <w:r w:rsidRPr="00B76994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D31FCD" w:rsidRPr="00B76994" w:rsidRDefault="00D31FCD" w:rsidP="007C7477">
            <w:pPr>
              <w:widowControl w:val="0"/>
              <w:jc w:val="center"/>
            </w:pPr>
            <w:r w:rsidRPr="00B76994">
              <w:t>0,</w:t>
            </w:r>
            <w:r w:rsidR="00982A5C" w:rsidRPr="00B76994">
              <w:t>68</w:t>
            </w:r>
          </w:p>
        </w:tc>
        <w:tc>
          <w:tcPr>
            <w:tcW w:w="1701" w:type="dxa"/>
            <w:shd w:val="clear" w:color="auto" w:fill="auto"/>
            <w:hideMark/>
          </w:tcPr>
          <w:p w:rsidR="00D31FCD" w:rsidRPr="00B76994" w:rsidRDefault="00EC70C3" w:rsidP="007C7477">
            <w:pPr>
              <w:widowControl w:val="0"/>
              <w:jc w:val="center"/>
            </w:pPr>
            <w:r w:rsidRPr="00B76994">
              <w:t>1</w:t>
            </w:r>
            <w:r w:rsidR="008438F3" w:rsidRPr="00B76994">
              <w:t>,3</w:t>
            </w:r>
          </w:p>
        </w:tc>
        <w:tc>
          <w:tcPr>
            <w:tcW w:w="6378" w:type="dxa"/>
            <w:shd w:val="clear" w:color="auto" w:fill="auto"/>
            <w:hideMark/>
          </w:tcPr>
          <w:p w:rsidR="00D31FCD" w:rsidRPr="00B76994" w:rsidRDefault="000E03AB" w:rsidP="007C7477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-</w:t>
            </w:r>
          </w:p>
        </w:tc>
      </w:tr>
      <w:tr w:rsidR="00C34CF3" w:rsidRPr="00B76994" w:rsidTr="00482CB2">
        <w:trPr>
          <w:trHeight w:val="1322"/>
        </w:trPr>
        <w:tc>
          <w:tcPr>
            <w:tcW w:w="760" w:type="dxa"/>
            <w:shd w:val="clear" w:color="auto" w:fill="auto"/>
            <w:hideMark/>
          </w:tcPr>
          <w:p w:rsidR="00C34CF3" w:rsidRPr="00B76994" w:rsidRDefault="00C34CF3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1.2.</w:t>
            </w:r>
          </w:p>
        </w:tc>
        <w:tc>
          <w:tcPr>
            <w:tcW w:w="4925" w:type="dxa"/>
            <w:shd w:val="clear" w:color="000000" w:fill="FFFFFF"/>
            <w:hideMark/>
          </w:tcPr>
          <w:p w:rsidR="00C34CF3" w:rsidRPr="00B76994" w:rsidRDefault="00C34CF3" w:rsidP="007C7477">
            <w:pPr>
              <w:widowControl w:val="0"/>
              <w:jc w:val="both"/>
            </w:pPr>
            <w:r w:rsidRPr="00B76994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B76994">
              <w:t>Кванториум</w:t>
            </w:r>
            <w:proofErr w:type="spellEnd"/>
            <w:r w:rsidRPr="00B76994">
              <w:t>» и центров «</w:t>
            </w:r>
            <w:proofErr w:type="spellStart"/>
            <w:proofErr w:type="gramStart"/>
            <w:r w:rsidRPr="00B76994">
              <w:t>I</w:t>
            </w:r>
            <w:proofErr w:type="gramEnd"/>
            <w:r w:rsidRPr="00B76994">
              <w:t>Т-куб</w:t>
            </w:r>
            <w:proofErr w:type="spellEnd"/>
            <w:r w:rsidRPr="00B76994">
              <w:t>», процент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34CF3" w:rsidRPr="00B76994" w:rsidRDefault="00C34CF3" w:rsidP="007C7477">
            <w:pPr>
              <w:widowControl w:val="0"/>
              <w:jc w:val="center"/>
            </w:pPr>
            <w:r w:rsidRPr="00B76994">
              <w:t>35,6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C34CF3" w:rsidRPr="00B76994" w:rsidRDefault="00C34CF3" w:rsidP="007C7477">
            <w:pPr>
              <w:widowControl w:val="0"/>
              <w:jc w:val="center"/>
            </w:pPr>
            <w:r w:rsidRPr="00B76994">
              <w:t>21,5</w:t>
            </w:r>
          </w:p>
        </w:tc>
        <w:tc>
          <w:tcPr>
            <w:tcW w:w="6378" w:type="dxa"/>
            <w:shd w:val="clear" w:color="auto" w:fill="auto"/>
            <w:hideMark/>
          </w:tcPr>
          <w:p w:rsidR="00C34CF3" w:rsidRPr="00B76994" w:rsidRDefault="00C34CF3" w:rsidP="00CF7457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C34CF3" w:rsidRPr="00B76994" w:rsidRDefault="00C34CF3" w:rsidP="00CF7457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482CB2" w:rsidRPr="00B76994" w:rsidTr="00482CB2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1.3.</w:t>
            </w:r>
          </w:p>
        </w:tc>
        <w:tc>
          <w:tcPr>
            <w:tcW w:w="4925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both"/>
            </w:pPr>
            <w:proofErr w:type="gramStart"/>
            <w:r w:rsidRPr="00B76994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</w:pPr>
            <w:r w:rsidRPr="00B76994">
              <w:t>30</w:t>
            </w:r>
          </w:p>
        </w:tc>
        <w:tc>
          <w:tcPr>
            <w:tcW w:w="1701" w:type="dxa"/>
            <w:shd w:val="clear" w:color="auto" w:fill="auto"/>
            <w:hideMark/>
          </w:tcPr>
          <w:p w:rsidR="00482CB2" w:rsidRPr="00B76994" w:rsidRDefault="00270772" w:rsidP="007C7477">
            <w:pPr>
              <w:widowControl w:val="0"/>
              <w:jc w:val="center"/>
            </w:pPr>
            <w:r w:rsidRPr="00B76994">
              <w:t>12</w:t>
            </w:r>
          </w:p>
        </w:tc>
        <w:tc>
          <w:tcPr>
            <w:tcW w:w="6378" w:type="dxa"/>
            <w:shd w:val="clear" w:color="auto" w:fill="auto"/>
            <w:hideMark/>
          </w:tcPr>
          <w:p w:rsidR="00482CB2" w:rsidRPr="00B76994" w:rsidRDefault="00482CB2" w:rsidP="007A4D69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482CB2" w:rsidRPr="00B76994" w:rsidRDefault="00482CB2" w:rsidP="007A4D69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482CB2" w:rsidRPr="00B76994" w:rsidTr="00482CB2">
        <w:trPr>
          <w:trHeight w:val="1260"/>
        </w:trPr>
        <w:tc>
          <w:tcPr>
            <w:tcW w:w="760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lastRenderedPageBreak/>
              <w:t>1.4.</w:t>
            </w:r>
          </w:p>
        </w:tc>
        <w:tc>
          <w:tcPr>
            <w:tcW w:w="4925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both"/>
            </w:pPr>
            <w:r w:rsidRPr="00B76994">
              <w:t>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детей, единица</w:t>
            </w:r>
          </w:p>
        </w:tc>
        <w:tc>
          <w:tcPr>
            <w:tcW w:w="1560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</w:pPr>
            <w:r w:rsidRPr="00B76994"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</w:pPr>
            <w:r w:rsidRPr="00B76994">
              <w:t>1</w:t>
            </w:r>
          </w:p>
        </w:tc>
        <w:tc>
          <w:tcPr>
            <w:tcW w:w="6378" w:type="dxa"/>
            <w:shd w:val="clear" w:color="auto" w:fill="auto"/>
            <w:hideMark/>
          </w:tcPr>
          <w:p w:rsidR="00482CB2" w:rsidRPr="00B76994" w:rsidRDefault="00911613" w:rsidP="007C7477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-</w:t>
            </w:r>
          </w:p>
        </w:tc>
      </w:tr>
      <w:tr w:rsidR="00482CB2" w:rsidRPr="00B76994" w:rsidTr="00482CB2">
        <w:trPr>
          <w:trHeight w:val="717"/>
        </w:trPr>
        <w:tc>
          <w:tcPr>
            <w:tcW w:w="760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1.5.</w:t>
            </w:r>
          </w:p>
        </w:tc>
        <w:tc>
          <w:tcPr>
            <w:tcW w:w="4925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both"/>
            </w:pPr>
            <w:r w:rsidRPr="00B76994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</w:pPr>
            <w:r w:rsidRPr="00B76994">
              <w:t>8</w:t>
            </w:r>
            <w:r w:rsidR="00DD1C80" w:rsidRPr="00B76994">
              <w:t>6,9</w:t>
            </w:r>
          </w:p>
        </w:tc>
        <w:tc>
          <w:tcPr>
            <w:tcW w:w="1701" w:type="dxa"/>
            <w:shd w:val="clear" w:color="auto" w:fill="auto"/>
            <w:hideMark/>
          </w:tcPr>
          <w:p w:rsidR="00482CB2" w:rsidRPr="00B76994" w:rsidRDefault="00DD1C80" w:rsidP="007C7477">
            <w:pPr>
              <w:widowControl w:val="0"/>
              <w:jc w:val="center"/>
            </w:pPr>
            <w:r w:rsidRPr="00B76994">
              <w:t>86,5</w:t>
            </w:r>
          </w:p>
        </w:tc>
        <w:tc>
          <w:tcPr>
            <w:tcW w:w="6378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482CB2" w:rsidRPr="00B76994" w:rsidTr="00482CB2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1.6.</w:t>
            </w:r>
          </w:p>
        </w:tc>
        <w:tc>
          <w:tcPr>
            <w:tcW w:w="4925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both"/>
            </w:pPr>
            <w:r w:rsidRPr="00B76994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</w:pPr>
            <w:r w:rsidRPr="00B76994">
              <w:t>86,66</w:t>
            </w:r>
          </w:p>
        </w:tc>
        <w:tc>
          <w:tcPr>
            <w:tcW w:w="1701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center"/>
            </w:pPr>
            <w:r w:rsidRPr="00B76994">
              <w:t>86,66</w:t>
            </w:r>
          </w:p>
        </w:tc>
        <w:tc>
          <w:tcPr>
            <w:tcW w:w="6378" w:type="dxa"/>
            <w:shd w:val="clear" w:color="auto" w:fill="auto"/>
            <w:hideMark/>
          </w:tcPr>
          <w:p w:rsidR="00482CB2" w:rsidRPr="00B76994" w:rsidRDefault="00482CB2" w:rsidP="007C7477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-</w:t>
            </w:r>
          </w:p>
        </w:tc>
      </w:tr>
      <w:tr w:rsidR="00AF6982" w:rsidRPr="00B76994" w:rsidTr="00482CB2">
        <w:trPr>
          <w:trHeight w:val="414"/>
        </w:trPr>
        <w:tc>
          <w:tcPr>
            <w:tcW w:w="760" w:type="dxa"/>
            <w:shd w:val="clear" w:color="auto" w:fill="auto"/>
            <w:hideMark/>
          </w:tcPr>
          <w:p w:rsidR="00AF6982" w:rsidRPr="00B76994" w:rsidRDefault="00AF6982" w:rsidP="00E80E2F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1.7.</w:t>
            </w:r>
          </w:p>
        </w:tc>
        <w:tc>
          <w:tcPr>
            <w:tcW w:w="4925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both"/>
            </w:pPr>
            <w:proofErr w:type="gramStart"/>
            <w:r w:rsidRPr="00B76994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r w:rsidR="00331C07" w:rsidRPr="00B76994">
              <w:t>, процент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center"/>
            </w:pPr>
            <w:r w:rsidRPr="00B76994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center"/>
            </w:pPr>
            <w:r w:rsidRPr="00B76994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AF6982" w:rsidRPr="00B76994" w:rsidRDefault="00AF6982" w:rsidP="00911613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B76994">
              <w:t>федеральной информационно-сервисной платформы цифровой образовательной среды в третьем квартале 2022 года</w:t>
            </w:r>
          </w:p>
        </w:tc>
      </w:tr>
      <w:tr w:rsidR="00AF6982" w:rsidRPr="00B76994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1.8.</w:t>
            </w:r>
          </w:p>
        </w:tc>
        <w:tc>
          <w:tcPr>
            <w:tcW w:w="4925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both"/>
            </w:pPr>
            <w:r w:rsidRPr="00B76994"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  <w:r w:rsidR="00331C07" w:rsidRPr="00B76994">
              <w:t>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center"/>
            </w:pPr>
            <w:r w:rsidRPr="00B76994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center"/>
            </w:pPr>
            <w:r w:rsidRPr="00B76994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AF6982" w:rsidRPr="00B76994" w:rsidRDefault="00AF6982" w:rsidP="00911613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B76994">
              <w:t>федеральной информационно-сервисной платформы цифровой образовательной среды в третьем квартале 2022 года</w:t>
            </w:r>
          </w:p>
        </w:tc>
      </w:tr>
      <w:tr w:rsidR="00AF6982" w:rsidRPr="00B76994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1.9.</w:t>
            </w:r>
          </w:p>
        </w:tc>
        <w:tc>
          <w:tcPr>
            <w:tcW w:w="4925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both"/>
            </w:pPr>
            <w:r w:rsidRPr="00B76994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  <w:r w:rsidR="00331C07" w:rsidRPr="00B76994">
              <w:t>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center"/>
            </w:pPr>
            <w:r w:rsidRPr="00B76994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:rsidR="00AF6982" w:rsidRPr="00B76994" w:rsidRDefault="00AF6982" w:rsidP="007C7477">
            <w:pPr>
              <w:widowControl w:val="0"/>
              <w:jc w:val="center"/>
            </w:pPr>
            <w:r w:rsidRPr="00B76994">
              <w:t>0</w:t>
            </w:r>
          </w:p>
        </w:tc>
        <w:tc>
          <w:tcPr>
            <w:tcW w:w="6378" w:type="dxa"/>
            <w:shd w:val="clear" w:color="auto" w:fill="auto"/>
            <w:hideMark/>
          </w:tcPr>
          <w:p w:rsidR="00AF6982" w:rsidRPr="00B76994" w:rsidRDefault="00AF6982" w:rsidP="00911613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 xml:space="preserve">Показатель будет исполнен после введения в действие </w:t>
            </w:r>
            <w:r w:rsidRPr="00B76994">
              <w:t>федеральной информационно-сервисной платформы цифровой образовательной среды в третьем квартале 2022 года</w:t>
            </w:r>
          </w:p>
        </w:tc>
      </w:tr>
      <w:tr w:rsidR="002E0B44" w:rsidRPr="00B76994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E0B44" w:rsidRPr="00B76994" w:rsidRDefault="002E0B44" w:rsidP="00AD3084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1.10.</w:t>
            </w:r>
          </w:p>
        </w:tc>
        <w:tc>
          <w:tcPr>
            <w:tcW w:w="4925" w:type="dxa"/>
            <w:shd w:val="clear" w:color="auto" w:fill="auto"/>
            <w:hideMark/>
          </w:tcPr>
          <w:p w:rsidR="002E0B44" w:rsidRPr="00B76994" w:rsidRDefault="002E0B44" w:rsidP="00AD3084">
            <w:pPr>
              <w:widowControl w:val="0"/>
              <w:jc w:val="both"/>
            </w:pPr>
            <w:proofErr w:type="gramStart"/>
            <w:r w:rsidRPr="00B76994"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B76994">
              <w:t>волонтерства</w:t>
            </w:r>
            <w:proofErr w:type="spellEnd"/>
            <w:r w:rsidRPr="00B76994">
              <w:t xml:space="preserve">) на базе образовательных организаций, </w:t>
            </w:r>
            <w:r w:rsidRPr="00B76994">
              <w:lastRenderedPageBreak/>
              <w:t>некоммерческих организаций, государственных и муниципальных учреждений, в добровольческую (волонтерскую) деятельность, млн. человек</w:t>
            </w:r>
            <w:proofErr w:type="gramEnd"/>
          </w:p>
        </w:tc>
        <w:tc>
          <w:tcPr>
            <w:tcW w:w="1560" w:type="dxa"/>
            <w:shd w:val="clear" w:color="auto" w:fill="auto"/>
            <w:hideMark/>
          </w:tcPr>
          <w:p w:rsidR="002E0B44" w:rsidRPr="00B76994" w:rsidRDefault="002E0B44" w:rsidP="00AD3084">
            <w:pPr>
              <w:widowControl w:val="0"/>
              <w:jc w:val="center"/>
            </w:pPr>
            <w:r w:rsidRPr="00B76994">
              <w:lastRenderedPageBreak/>
              <w:t>0,0169</w:t>
            </w:r>
          </w:p>
          <w:p w:rsidR="002E0B44" w:rsidRPr="00B76994" w:rsidRDefault="002E0B44" w:rsidP="00AD3084">
            <w:pPr>
              <w:widowControl w:val="0"/>
              <w:jc w:val="center"/>
            </w:pPr>
            <w:r w:rsidRPr="00B76994">
              <w:t>(16 900 человек)</w:t>
            </w:r>
          </w:p>
        </w:tc>
        <w:tc>
          <w:tcPr>
            <w:tcW w:w="1701" w:type="dxa"/>
            <w:shd w:val="clear" w:color="auto" w:fill="auto"/>
            <w:hideMark/>
          </w:tcPr>
          <w:p w:rsidR="002E0B44" w:rsidRPr="00B76994" w:rsidRDefault="002E0B44" w:rsidP="00655497">
            <w:pPr>
              <w:widowControl w:val="0"/>
              <w:jc w:val="center"/>
            </w:pPr>
            <w:r w:rsidRPr="00B76994">
              <w:t>0,0130</w:t>
            </w:r>
          </w:p>
          <w:p w:rsidR="002E0B44" w:rsidRPr="00B76994" w:rsidRDefault="002E0B44" w:rsidP="00655497">
            <w:pPr>
              <w:widowControl w:val="0"/>
              <w:jc w:val="center"/>
            </w:pPr>
            <w:r w:rsidRPr="00B76994">
              <w:t>(12 950 человек)</w:t>
            </w:r>
          </w:p>
        </w:tc>
        <w:tc>
          <w:tcPr>
            <w:tcW w:w="6378" w:type="dxa"/>
            <w:shd w:val="clear" w:color="auto" w:fill="auto"/>
            <w:hideMark/>
          </w:tcPr>
          <w:p w:rsidR="002E0B44" w:rsidRPr="00B76994" w:rsidRDefault="002E0B44" w:rsidP="00167114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2E0B44" w:rsidRPr="00B76994" w:rsidRDefault="002E0B44" w:rsidP="00167114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2E0B44" w:rsidRPr="00B76994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E0B44" w:rsidRPr="00B76994" w:rsidRDefault="002E0B44" w:rsidP="00AF6982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lastRenderedPageBreak/>
              <w:t>1.11.</w:t>
            </w:r>
          </w:p>
        </w:tc>
        <w:tc>
          <w:tcPr>
            <w:tcW w:w="4925" w:type="dxa"/>
            <w:shd w:val="clear" w:color="auto" w:fill="auto"/>
            <w:hideMark/>
          </w:tcPr>
          <w:p w:rsidR="002E0B44" w:rsidRPr="00B76994" w:rsidRDefault="002E0B44" w:rsidP="00030A6B">
            <w:pPr>
              <w:autoSpaceDE w:val="0"/>
              <w:autoSpaceDN w:val="0"/>
              <w:adjustRightInd w:val="0"/>
              <w:jc w:val="both"/>
            </w:pPr>
            <w:r w:rsidRPr="00B76994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60" w:type="dxa"/>
            <w:shd w:val="clear" w:color="auto" w:fill="auto"/>
            <w:hideMark/>
          </w:tcPr>
          <w:p w:rsidR="002E0B44" w:rsidRPr="00B76994" w:rsidRDefault="002E0B44" w:rsidP="007C7477">
            <w:pPr>
              <w:widowControl w:val="0"/>
              <w:jc w:val="center"/>
            </w:pPr>
            <w:r w:rsidRPr="00B76994">
              <w:t>5,4</w:t>
            </w:r>
          </w:p>
        </w:tc>
        <w:tc>
          <w:tcPr>
            <w:tcW w:w="1701" w:type="dxa"/>
            <w:shd w:val="clear" w:color="auto" w:fill="auto"/>
            <w:hideMark/>
          </w:tcPr>
          <w:p w:rsidR="002E0B44" w:rsidRPr="00B76994" w:rsidRDefault="002E0B44" w:rsidP="00655497">
            <w:pPr>
              <w:widowControl w:val="0"/>
              <w:jc w:val="center"/>
            </w:pPr>
            <w:r w:rsidRPr="00B76994">
              <w:t>100</w:t>
            </w:r>
          </w:p>
        </w:tc>
        <w:tc>
          <w:tcPr>
            <w:tcW w:w="6378" w:type="dxa"/>
            <w:shd w:val="clear" w:color="auto" w:fill="auto"/>
            <w:hideMark/>
          </w:tcPr>
          <w:p w:rsidR="002E0B44" w:rsidRPr="00B76994" w:rsidRDefault="002E0B44" w:rsidP="007C7477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-</w:t>
            </w:r>
          </w:p>
        </w:tc>
      </w:tr>
      <w:tr w:rsidR="002E0B44" w:rsidRPr="00B76994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E0B44" w:rsidRPr="00B76994" w:rsidRDefault="002E0B44" w:rsidP="00AF6982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1.12.</w:t>
            </w:r>
          </w:p>
        </w:tc>
        <w:tc>
          <w:tcPr>
            <w:tcW w:w="4925" w:type="dxa"/>
            <w:shd w:val="clear" w:color="auto" w:fill="auto"/>
            <w:hideMark/>
          </w:tcPr>
          <w:p w:rsidR="002E0B44" w:rsidRPr="00B76994" w:rsidRDefault="002E0B44" w:rsidP="007C7477">
            <w:pPr>
              <w:autoSpaceDE w:val="0"/>
              <w:autoSpaceDN w:val="0"/>
              <w:adjustRightInd w:val="0"/>
              <w:jc w:val="both"/>
            </w:pPr>
            <w:r w:rsidRPr="00B76994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2E0B44" w:rsidRPr="00B76994" w:rsidRDefault="002E0B44" w:rsidP="00D40725">
            <w:pPr>
              <w:widowControl w:val="0"/>
              <w:jc w:val="center"/>
            </w:pPr>
            <w:r w:rsidRPr="00B76994">
              <w:t xml:space="preserve">7,748 </w:t>
            </w:r>
          </w:p>
          <w:p w:rsidR="002E0B44" w:rsidRPr="00B76994" w:rsidRDefault="002E0B44" w:rsidP="00D40725">
            <w:pPr>
              <w:widowControl w:val="0"/>
              <w:jc w:val="center"/>
            </w:pPr>
            <w:r w:rsidRPr="00B76994">
              <w:t>(7 748 человек)</w:t>
            </w:r>
          </w:p>
        </w:tc>
        <w:tc>
          <w:tcPr>
            <w:tcW w:w="1701" w:type="dxa"/>
            <w:shd w:val="clear" w:color="auto" w:fill="auto"/>
            <w:hideMark/>
          </w:tcPr>
          <w:p w:rsidR="002E0B44" w:rsidRPr="00B76994" w:rsidRDefault="00265A99" w:rsidP="00655497">
            <w:pPr>
              <w:widowControl w:val="0"/>
              <w:jc w:val="center"/>
            </w:pPr>
            <w:r w:rsidRPr="00B76994">
              <w:t>4,022</w:t>
            </w:r>
          </w:p>
          <w:p w:rsidR="002E0B44" w:rsidRPr="00B76994" w:rsidRDefault="002E0B44" w:rsidP="00655497">
            <w:pPr>
              <w:widowControl w:val="0"/>
              <w:jc w:val="center"/>
            </w:pPr>
            <w:proofErr w:type="gramStart"/>
            <w:r w:rsidRPr="00B76994">
              <w:t xml:space="preserve">(4022 </w:t>
            </w:r>
            <w:proofErr w:type="gramEnd"/>
          </w:p>
          <w:p w:rsidR="002E0B44" w:rsidRPr="00B76994" w:rsidRDefault="002E0B44" w:rsidP="00655497">
            <w:pPr>
              <w:widowControl w:val="0"/>
              <w:jc w:val="center"/>
            </w:pPr>
            <w:r w:rsidRPr="00B76994">
              <w:t xml:space="preserve">человек) </w:t>
            </w:r>
          </w:p>
        </w:tc>
        <w:tc>
          <w:tcPr>
            <w:tcW w:w="6378" w:type="dxa"/>
            <w:shd w:val="clear" w:color="auto" w:fill="auto"/>
            <w:hideMark/>
          </w:tcPr>
          <w:p w:rsidR="002E0B44" w:rsidRPr="00B76994" w:rsidRDefault="002E0B44" w:rsidP="00BC3FEA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2E0B44" w:rsidRPr="00B76994" w:rsidRDefault="002E0B44" w:rsidP="00BC3FEA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  <w:tr w:rsidR="002E0B44" w:rsidRPr="001E1ACD" w:rsidTr="00482CB2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2E0B44" w:rsidRPr="00B76994" w:rsidRDefault="002E0B44" w:rsidP="007C7477">
            <w:pPr>
              <w:widowControl w:val="0"/>
              <w:jc w:val="center"/>
              <w:rPr>
                <w:color w:val="000000"/>
              </w:rPr>
            </w:pPr>
            <w:r w:rsidRPr="00B76994">
              <w:rPr>
                <w:color w:val="000000"/>
              </w:rPr>
              <w:t>1.13.</w:t>
            </w:r>
          </w:p>
        </w:tc>
        <w:tc>
          <w:tcPr>
            <w:tcW w:w="4925" w:type="dxa"/>
            <w:shd w:val="clear" w:color="auto" w:fill="auto"/>
            <w:hideMark/>
          </w:tcPr>
          <w:p w:rsidR="002E0B44" w:rsidRPr="00B76994" w:rsidRDefault="002E0B44" w:rsidP="007C7477">
            <w:pPr>
              <w:autoSpaceDE w:val="0"/>
              <w:autoSpaceDN w:val="0"/>
              <w:adjustRightInd w:val="0"/>
              <w:jc w:val="both"/>
            </w:pPr>
            <w:r w:rsidRPr="00B76994">
              <w:t xml:space="preserve">Создание условий для развития системы </w:t>
            </w:r>
            <w:proofErr w:type="spellStart"/>
            <w:r w:rsidRPr="00B76994">
              <w:t>межпоколенческого</w:t>
            </w:r>
            <w:proofErr w:type="spellEnd"/>
            <w:r w:rsidRPr="00B76994"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60" w:type="dxa"/>
            <w:shd w:val="clear" w:color="auto" w:fill="auto"/>
            <w:hideMark/>
          </w:tcPr>
          <w:p w:rsidR="002E0B44" w:rsidRPr="00B76994" w:rsidRDefault="002E0B44" w:rsidP="007C7477">
            <w:pPr>
              <w:widowControl w:val="0"/>
              <w:jc w:val="center"/>
            </w:pPr>
            <w:r w:rsidRPr="00B76994">
              <w:t>0,</w:t>
            </w:r>
            <w:r w:rsidR="00265A99" w:rsidRPr="00B76994">
              <w:t>454</w:t>
            </w:r>
          </w:p>
          <w:p w:rsidR="002E0B44" w:rsidRPr="00B76994" w:rsidRDefault="002E0B44" w:rsidP="007C7477">
            <w:pPr>
              <w:widowControl w:val="0"/>
              <w:jc w:val="center"/>
            </w:pPr>
            <w:r w:rsidRPr="00B76994">
              <w:t>(454 человека)</w:t>
            </w:r>
          </w:p>
        </w:tc>
        <w:tc>
          <w:tcPr>
            <w:tcW w:w="1701" w:type="dxa"/>
            <w:shd w:val="clear" w:color="auto" w:fill="auto"/>
            <w:hideMark/>
          </w:tcPr>
          <w:p w:rsidR="002E0B44" w:rsidRPr="00B76994" w:rsidRDefault="00265A99" w:rsidP="00655497">
            <w:pPr>
              <w:widowControl w:val="0"/>
              <w:jc w:val="center"/>
            </w:pPr>
            <w:r w:rsidRPr="00B76994">
              <w:t>0,</w:t>
            </w:r>
            <w:r w:rsidR="002E0B44" w:rsidRPr="00B76994">
              <w:t>28</w:t>
            </w:r>
          </w:p>
          <w:p w:rsidR="00265A99" w:rsidRPr="00B76994" w:rsidRDefault="002E0B44" w:rsidP="00655497">
            <w:pPr>
              <w:widowControl w:val="0"/>
              <w:jc w:val="center"/>
            </w:pPr>
            <w:proofErr w:type="gramStart"/>
            <w:r w:rsidRPr="00B76994">
              <w:t xml:space="preserve">(280 </w:t>
            </w:r>
            <w:proofErr w:type="gramEnd"/>
          </w:p>
          <w:p w:rsidR="002E0B44" w:rsidRPr="00B76994" w:rsidRDefault="002E0B44" w:rsidP="00655497">
            <w:pPr>
              <w:widowControl w:val="0"/>
              <w:jc w:val="center"/>
            </w:pPr>
            <w:r w:rsidRPr="00B76994">
              <w:t>человек)</w:t>
            </w:r>
          </w:p>
        </w:tc>
        <w:tc>
          <w:tcPr>
            <w:tcW w:w="6378" w:type="dxa"/>
            <w:shd w:val="clear" w:color="auto" w:fill="auto"/>
            <w:hideMark/>
          </w:tcPr>
          <w:p w:rsidR="002E0B44" w:rsidRPr="00B76994" w:rsidRDefault="002E0B44" w:rsidP="00BC3FEA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2022 года.</w:t>
            </w:r>
          </w:p>
          <w:p w:rsidR="002E0B44" w:rsidRPr="006962C0" w:rsidRDefault="002E0B44" w:rsidP="00BC3FEA">
            <w:pPr>
              <w:widowControl w:val="0"/>
              <w:jc w:val="both"/>
              <w:rPr>
                <w:color w:val="000000"/>
              </w:rPr>
            </w:pPr>
            <w:r w:rsidRPr="00B76994">
              <w:rPr>
                <w:color w:val="000000"/>
              </w:rPr>
              <w:t>По итогам 2022 года показатель будет исполнен в полном объёме</w:t>
            </w:r>
          </w:p>
        </w:tc>
      </w:tr>
    </w:tbl>
    <w:p w:rsidR="00D31FCD" w:rsidRDefault="00D31FCD" w:rsidP="00D31FCD">
      <w:pPr>
        <w:widowControl w:val="0"/>
        <w:jc w:val="center"/>
        <w:rPr>
          <w:sz w:val="28"/>
          <w:szCs w:val="28"/>
        </w:rPr>
      </w:pPr>
    </w:p>
    <w:p w:rsidR="00D31FCD" w:rsidRDefault="00D31FCD" w:rsidP="00D31FCD">
      <w:pPr>
        <w:widowControl w:val="0"/>
        <w:jc w:val="center"/>
        <w:rPr>
          <w:sz w:val="28"/>
          <w:szCs w:val="28"/>
        </w:rPr>
      </w:pPr>
    </w:p>
    <w:p w:rsidR="00D31FCD" w:rsidRDefault="00D31FCD" w:rsidP="00D31FCD">
      <w:pPr>
        <w:widowControl w:val="0"/>
        <w:jc w:val="center"/>
        <w:rPr>
          <w:sz w:val="28"/>
          <w:szCs w:val="28"/>
        </w:rPr>
      </w:pPr>
    </w:p>
    <w:p w:rsidR="00D31FCD" w:rsidRPr="00286434" w:rsidRDefault="00D31FCD" w:rsidP="00D31FCD">
      <w:pPr>
        <w:widowControl w:val="0"/>
        <w:jc w:val="center"/>
        <w:rPr>
          <w:sz w:val="28"/>
          <w:szCs w:val="28"/>
        </w:rPr>
      </w:pPr>
    </w:p>
    <w:p w:rsidR="00D31FCD" w:rsidRDefault="00D31FCD" w:rsidP="0053218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sz w:val="28"/>
          <w:szCs w:val="28"/>
        </w:rPr>
      </w:pPr>
    </w:p>
    <w:sectPr w:rsidR="00D31FCD" w:rsidSect="00482CB2"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9F" w:rsidRDefault="0066329F">
      <w:r>
        <w:separator/>
      </w:r>
    </w:p>
  </w:endnote>
  <w:endnote w:type="continuationSeparator" w:id="0">
    <w:p w:rsidR="0066329F" w:rsidRDefault="00663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9F" w:rsidRDefault="0066329F">
      <w:r>
        <w:separator/>
      </w:r>
    </w:p>
  </w:footnote>
  <w:footnote w:type="continuationSeparator" w:id="0">
    <w:p w:rsidR="0066329F" w:rsidRDefault="00663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6E08"/>
    <w:rsid w:val="000278C8"/>
    <w:rsid w:val="00030A6B"/>
    <w:rsid w:val="00031F97"/>
    <w:rsid w:val="00043DFD"/>
    <w:rsid w:val="00044F0B"/>
    <w:rsid w:val="000468B8"/>
    <w:rsid w:val="0004793E"/>
    <w:rsid w:val="00061FF1"/>
    <w:rsid w:val="00062BDD"/>
    <w:rsid w:val="000713F1"/>
    <w:rsid w:val="000738EF"/>
    <w:rsid w:val="000764E6"/>
    <w:rsid w:val="0008136C"/>
    <w:rsid w:val="0008139B"/>
    <w:rsid w:val="00087565"/>
    <w:rsid w:val="000B0C30"/>
    <w:rsid w:val="000B3088"/>
    <w:rsid w:val="000B7E49"/>
    <w:rsid w:val="000C3C30"/>
    <w:rsid w:val="000C4B3D"/>
    <w:rsid w:val="000C60BF"/>
    <w:rsid w:val="000C77F2"/>
    <w:rsid w:val="000D29EA"/>
    <w:rsid w:val="000D5F00"/>
    <w:rsid w:val="000E03AB"/>
    <w:rsid w:val="000E0FA1"/>
    <w:rsid w:val="000E1722"/>
    <w:rsid w:val="000E464A"/>
    <w:rsid w:val="000F1AC3"/>
    <w:rsid w:val="001164B0"/>
    <w:rsid w:val="001179BB"/>
    <w:rsid w:val="00120FD7"/>
    <w:rsid w:val="001359EF"/>
    <w:rsid w:val="0016150E"/>
    <w:rsid w:val="00167114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0BE3"/>
    <w:rsid w:val="001C13F1"/>
    <w:rsid w:val="001C2147"/>
    <w:rsid w:val="001C4273"/>
    <w:rsid w:val="001D75ED"/>
    <w:rsid w:val="001E4610"/>
    <w:rsid w:val="001F2836"/>
    <w:rsid w:val="001F2899"/>
    <w:rsid w:val="00206C8E"/>
    <w:rsid w:val="00213CFD"/>
    <w:rsid w:val="00244F43"/>
    <w:rsid w:val="00250C40"/>
    <w:rsid w:val="00256A54"/>
    <w:rsid w:val="00260D26"/>
    <w:rsid w:val="00262BED"/>
    <w:rsid w:val="00265A99"/>
    <w:rsid w:val="00265BA5"/>
    <w:rsid w:val="00267956"/>
    <w:rsid w:val="00270772"/>
    <w:rsid w:val="00270890"/>
    <w:rsid w:val="00272CF5"/>
    <w:rsid w:val="002778A8"/>
    <w:rsid w:val="00281932"/>
    <w:rsid w:val="00282E4A"/>
    <w:rsid w:val="00287C27"/>
    <w:rsid w:val="00296923"/>
    <w:rsid w:val="002A74DB"/>
    <w:rsid w:val="002B1A23"/>
    <w:rsid w:val="002B1EC5"/>
    <w:rsid w:val="002B6E90"/>
    <w:rsid w:val="002B7190"/>
    <w:rsid w:val="002C5A6D"/>
    <w:rsid w:val="002E0B44"/>
    <w:rsid w:val="002E18D0"/>
    <w:rsid w:val="002E6843"/>
    <w:rsid w:val="003015DF"/>
    <w:rsid w:val="00331619"/>
    <w:rsid w:val="00331C07"/>
    <w:rsid w:val="0033277D"/>
    <w:rsid w:val="00333339"/>
    <w:rsid w:val="0033734C"/>
    <w:rsid w:val="00342179"/>
    <w:rsid w:val="003424BB"/>
    <w:rsid w:val="0034655F"/>
    <w:rsid w:val="00357CCB"/>
    <w:rsid w:val="00360817"/>
    <w:rsid w:val="003648DC"/>
    <w:rsid w:val="00365791"/>
    <w:rsid w:val="00367132"/>
    <w:rsid w:val="00383AC1"/>
    <w:rsid w:val="00396F86"/>
    <w:rsid w:val="00397568"/>
    <w:rsid w:val="003B0E1D"/>
    <w:rsid w:val="003B426C"/>
    <w:rsid w:val="003B6D4E"/>
    <w:rsid w:val="003B725A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3BCF"/>
    <w:rsid w:val="00427290"/>
    <w:rsid w:val="00437B01"/>
    <w:rsid w:val="00444837"/>
    <w:rsid w:val="00444FAB"/>
    <w:rsid w:val="00447BE5"/>
    <w:rsid w:val="00456F9A"/>
    <w:rsid w:val="00463D76"/>
    <w:rsid w:val="004644AE"/>
    <w:rsid w:val="00470F8C"/>
    <w:rsid w:val="00474F08"/>
    <w:rsid w:val="004812A5"/>
    <w:rsid w:val="00482CB2"/>
    <w:rsid w:val="00483358"/>
    <w:rsid w:val="00486552"/>
    <w:rsid w:val="00491015"/>
    <w:rsid w:val="004A4D16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20BE"/>
    <w:rsid w:val="0053218A"/>
    <w:rsid w:val="00533CE8"/>
    <w:rsid w:val="00534D6D"/>
    <w:rsid w:val="00541188"/>
    <w:rsid w:val="0054660D"/>
    <w:rsid w:val="00553898"/>
    <w:rsid w:val="005638B8"/>
    <w:rsid w:val="00563BCB"/>
    <w:rsid w:val="00565A2C"/>
    <w:rsid w:val="00574552"/>
    <w:rsid w:val="00575668"/>
    <w:rsid w:val="00591B7A"/>
    <w:rsid w:val="005A3454"/>
    <w:rsid w:val="005C033C"/>
    <w:rsid w:val="005C3847"/>
    <w:rsid w:val="005E3BD9"/>
    <w:rsid w:val="005E649B"/>
    <w:rsid w:val="005F023A"/>
    <w:rsid w:val="005F3659"/>
    <w:rsid w:val="006037A5"/>
    <w:rsid w:val="0060654C"/>
    <w:rsid w:val="0060691C"/>
    <w:rsid w:val="00611FF7"/>
    <w:rsid w:val="00612373"/>
    <w:rsid w:val="00612934"/>
    <w:rsid w:val="00614B50"/>
    <w:rsid w:val="00621949"/>
    <w:rsid w:val="006241EC"/>
    <w:rsid w:val="00631992"/>
    <w:rsid w:val="00634B52"/>
    <w:rsid w:val="00641FB7"/>
    <w:rsid w:val="0066004A"/>
    <w:rsid w:val="0066329F"/>
    <w:rsid w:val="0066410A"/>
    <w:rsid w:val="00671DA6"/>
    <w:rsid w:val="0067613F"/>
    <w:rsid w:val="00681B72"/>
    <w:rsid w:val="00693BC3"/>
    <w:rsid w:val="00695601"/>
    <w:rsid w:val="006962C0"/>
    <w:rsid w:val="006A485B"/>
    <w:rsid w:val="006B3BE3"/>
    <w:rsid w:val="006C038D"/>
    <w:rsid w:val="006C1338"/>
    <w:rsid w:val="006C1B8B"/>
    <w:rsid w:val="006C508D"/>
    <w:rsid w:val="006C68DE"/>
    <w:rsid w:val="006D0984"/>
    <w:rsid w:val="006D0F50"/>
    <w:rsid w:val="006D15F6"/>
    <w:rsid w:val="006D63CE"/>
    <w:rsid w:val="006E05BC"/>
    <w:rsid w:val="006E106B"/>
    <w:rsid w:val="006E1FCF"/>
    <w:rsid w:val="006F18DC"/>
    <w:rsid w:val="0070391A"/>
    <w:rsid w:val="00722849"/>
    <w:rsid w:val="00722E75"/>
    <w:rsid w:val="0072453A"/>
    <w:rsid w:val="007257C7"/>
    <w:rsid w:val="0073596C"/>
    <w:rsid w:val="007373E1"/>
    <w:rsid w:val="00740A49"/>
    <w:rsid w:val="00746361"/>
    <w:rsid w:val="0075422A"/>
    <w:rsid w:val="007549C7"/>
    <w:rsid w:val="00756193"/>
    <w:rsid w:val="007650A5"/>
    <w:rsid w:val="00765D16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96C0A"/>
    <w:rsid w:val="007A60D3"/>
    <w:rsid w:val="007B294D"/>
    <w:rsid w:val="007B6F5C"/>
    <w:rsid w:val="007B7E9E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1B46"/>
    <w:rsid w:val="008077DE"/>
    <w:rsid w:val="00807FC7"/>
    <w:rsid w:val="0081109C"/>
    <w:rsid w:val="00814217"/>
    <w:rsid w:val="00816FFB"/>
    <w:rsid w:val="00817E65"/>
    <w:rsid w:val="0082410E"/>
    <w:rsid w:val="008242EA"/>
    <w:rsid w:val="00825491"/>
    <w:rsid w:val="0083181A"/>
    <w:rsid w:val="00832880"/>
    <w:rsid w:val="008438F3"/>
    <w:rsid w:val="00844706"/>
    <w:rsid w:val="008535D4"/>
    <w:rsid w:val="0085704E"/>
    <w:rsid w:val="00872CD2"/>
    <w:rsid w:val="00883EFF"/>
    <w:rsid w:val="008A09A2"/>
    <w:rsid w:val="008A0A22"/>
    <w:rsid w:val="008B1385"/>
    <w:rsid w:val="008B6427"/>
    <w:rsid w:val="008C0162"/>
    <w:rsid w:val="008C16F8"/>
    <w:rsid w:val="008C6643"/>
    <w:rsid w:val="008E0FB8"/>
    <w:rsid w:val="008E285C"/>
    <w:rsid w:val="008F18B2"/>
    <w:rsid w:val="009039FB"/>
    <w:rsid w:val="00910ECA"/>
    <w:rsid w:val="00911613"/>
    <w:rsid w:val="00911FB0"/>
    <w:rsid w:val="009176CC"/>
    <w:rsid w:val="009331D1"/>
    <w:rsid w:val="00944872"/>
    <w:rsid w:val="009503FD"/>
    <w:rsid w:val="00954370"/>
    <w:rsid w:val="00957F84"/>
    <w:rsid w:val="00963C0F"/>
    <w:rsid w:val="00972F86"/>
    <w:rsid w:val="009734E2"/>
    <w:rsid w:val="009819FE"/>
    <w:rsid w:val="00982A5C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1A5E"/>
    <w:rsid w:val="009C44BF"/>
    <w:rsid w:val="009C50D9"/>
    <w:rsid w:val="009C6CC0"/>
    <w:rsid w:val="009E6F8E"/>
    <w:rsid w:val="009F0DAC"/>
    <w:rsid w:val="00A03A2F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64E9"/>
    <w:rsid w:val="00AD09F7"/>
    <w:rsid w:val="00AD19B7"/>
    <w:rsid w:val="00AD1D96"/>
    <w:rsid w:val="00AF6982"/>
    <w:rsid w:val="00B03B49"/>
    <w:rsid w:val="00B06979"/>
    <w:rsid w:val="00B169BA"/>
    <w:rsid w:val="00B20E93"/>
    <w:rsid w:val="00B309F2"/>
    <w:rsid w:val="00B36AA3"/>
    <w:rsid w:val="00B41CEC"/>
    <w:rsid w:val="00B457B4"/>
    <w:rsid w:val="00B53BC0"/>
    <w:rsid w:val="00B53D20"/>
    <w:rsid w:val="00B62AF5"/>
    <w:rsid w:val="00B6504C"/>
    <w:rsid w:val="00B65B47"/>
    <w:rsid w:val="00B73FFE"/>
    <w:rsid w:val="00B76994"/>
    <w:rsid w:val="00B8321D"/>
    <w:rsid w:val="00B951F8"/>
    <w:rsid w:val="00BA42CB"/>
    <w:rsid w:val="00BA462B"/>
    <w:rsid w:val="00BB06B4"/>
    <w:rsid w:val="00BB13FC"/>
    <w:rsid w:val="00BB47E2"/>
    <w:rsid w:val="00BB7A32"/>
    <w:rsid w:val="00BC1FB6"/>
    <w:rsid w:val="00BD0B16"/>
    <w:rsid w:val="00BD31CC"/>
    <w:rsid w:val="00BD4E6D"/>
    <w:rsid w:val="00BD4FB3"/>
    <w:rsid w:val="00BE0710"/>
    <w:rsid w:val="00BE74D3"/>
    <w:rsid w:val="00BF6358"/>
    <w:rsid w:val="00C0101B"/>
    <w:rsid w:val="00C0241B"/>
    <w:rsid w:val="00C123B1"/>
    <w:rsid w:val="00C1374D"/>
    <w:rsid w:val="00C204ED"/>
    <w:rsid w:val="00C21D4C"/>
    <w:rsid w:val="00C222D6"/>
    <w:rsid w:val="00C2633E"/>
    <w:rsid w:val="00C2670B"/>
    <w:rsid w:val="00C30EFE"/>
    <w:rsid w:val="00C31DBD"/>
    <w:rsid w:val="00C3257D"/>
    <w:rsid w:val="00C34CF3"/>
    <w:rsid w:val="00C36340"/>
    <w:rsid w:val="00C40D98"/>
    <w:rsid w:val="00C42AAA"/>
    <w:rsid w:val="00C4393E"/>
    <w:rsid w:val="00C46D42"/>
    <w:rsid w:val="00C54C6F"/>
    <w:rsid w:val="00C563AE"/>
    <w:rsid w:val="00C61D2C"/>
    <w:rsid w:val="00C6510F"/>
    <w:rsid w:val="00C863AD"/>
    <w:rsid w:val="00CA03CB"/>
    <w:rsid w:val="00CC1145"/>
    <w:rsid w:val="00CC32B4"/>
    <w:rsid w:val="00CC6A75"/>
    <w:rsid w:val="00CD4DE7"/>
    <w:rsid w:val="00CE077A"/>
    <w:rsid w:val="00CE1B12"/>
    <w:rsid w:val="00CE325B"/>
    <w:rsid w:val="00CE6BFF"/>
    <w:rsid w:val="00CF3C59"/>
    <w:rsid w:val="00D005DB"/>
    <w:rsid w:val="00D0787E"/>
    <w:rsid w:val="00D2442D"/>
    <w:rsid w:val="00D268A1"/>
    <w:rsid w:val="00D26937"/>
    <w:rsid w:val="00D27C42"/>
    <w:rsid w:val="00D31488"/>
    <w:rsid w:val="00D31D93"/>
    <w:rsid w:val="00D31FCD"/>
    <w:rsid w:val="00D40725"/>
    <w:rsid w:val="00D42621"/>
    <w:rsid w:val="00D43CF2"/>
    <w:rsid w:val="00D46301"/>
    <w:rsid w:val="00D5005D"/>
    <w:rsid w:val="00D54B57"/>
    <w:rsid w:val="00D5515B"/>
    <w:rsid w:val="00D5541D"/>
    <w:rsid w:val="00D638A3"/>
    <w:rsid w:val="00D65C75"/>
    <w:rsid w:val="00D679E4"/>
    <w:rsid w:val="00D822AB"/>
    <w:rsid w:val="00D91806"/>
    <w:rsid w:val="00D9376A"/>
    <w:rsid w:val="00DA0AFA"/>
    <w:rsid w:val="00DA33EB"/>
    <w:rsid w:val="00DA52E7"/>
    <w:rsid w:val="00DA6DDB"/>
    <w:rsid w:val="00DC082F"/>
    <w:rsid w:val="00DC69CD"/>
    <w:rsid w:val="00DD1C80"/>
    <w:rsid w:val="00DD3D0A"/>
    <w:rsid w:val="00DD47CC"/>
    <w:rsid w:val="00DE32BD"/>
    <w:rsid w:val="00DF001F"/>
    <w:rsid w:val="00DF1BFF"/>
    <w:rsid w:val="00DF2AD4"/>
    <w:rsid w:val="00DF56E8"/>
    <w:rsid w:val="00DF5BE6"/>
    <w:rsid w:val="00DF629C"/>
    <w:rsid w:val="00E0530E"/>
    <w:rsid w:val="00E10BD4"/>
    <w:rsid w:val="00E12378"/>
    <w:rsid w:val="00E14437"/>
    <w:rsid w:val="00E47DD5"/>
    <w:rsid w:val="00E60EA1"/>
    <w:rsid w:val="00E8452B"/>
    <w:rsid w:val="00E902D5"/>
    <w:rsid w:val="00E929FE"/>
    <w:rsid w:val="00EA47B6"/>
    <w:rsid w:val="00EA6C4C"/>
    <w:rsid w:val="00EA7EC6"/>
    <w:rsid w:val="00EA7F4E"/>
    <w:rsid w:val="00EC70C3"/>
    <w:rsid w:val="00ED0D01"/>
    <w:rsid w:val="00ED1EF1"/>
    <w:rsid w:val="00EE0F9F"/>
    <w:rsid w:val="00EE6E9E"/>
    <w:rsid w:val="00EF2580"/>
    <w:rsid w:val="00EF6838"/>
    <w:rsid w:val="00EF7C64"/>
    <w:rsid w:val="00F041B1"/>
    <w:rsid w:val="00F153E6"/>
    <w:rsid w:val="00F15D53"/>
    <w:rsid w:val="00F328D9"/>
    <w:rsid w:val="00F41C8D"/>
    <w:rsid w:val="00F4578A"/>
    <w:rsid w:val="00F46745"/>
    <w:rsid w:val="00F5508D"/>
    <w:rsid w:val="00F611E5"/>
    <w:rsid w:val="00F67565"/>
    <w:rsid w:val="00F676D3"/>
    <w:rsid w:val="00F7374D"/>
    <w:rsid w:val="00F75C25"/>
    <w:rsid w:val="00F96F28"/>
    <w:rsid w:val="00FA3F68"/>
    <w:rsid w:val="00FA7D25"/>
    <w:rsid w:val="00FB2A58"/>
    <w:rsid w:val="00FC0FF9"/>
    <w:rsid w:val="00FC1758"/>
    <w:rsid w:val="00FC3F55"/>
    <w:rsid w:val="00FD1630"/>
    <w:rsid w:val="00FD1972"/>
    <w:rsid w:val="00FE1BE3"/>
    <w:rsid w:val="00FE26ED"/>
    <w:rsid w:val="00FE2710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markedcontent">
    <w:name w:val="markedcontent"/>
    <w:basedOn w:val="a0"/>
    <w:rsid w:val="00CE0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9580-589A-4F77-B96B-9E5954F2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11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25480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325</cp:revision>
  <cp:lastPrinted>2022-06-23T06:28:00Z</cp:lastPrinted>
  <dcterms:created xsi:type="dcterms:W3CDTF">2019-05-16T11:40:00Z</dcterms:created>
  <dcterms:modified xsi:type="dcterms:W3CDTF">2022-06-23T09:12:00Z</dcterms:modified>
</cp:coreProperties>
</file>