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5E43" w:rsidRDefault="00BB5E43" w:rsidP="00BB5E43">
      <w:pPr>
        <w:jc w:val="center"/>
        <w:rPr>
          <w:rFonts w:eastAsia="Arial Unicode MS"/>
        </w:rPr>
      </w:pPr>
      <w:r>
        <w:rPr>
          <w:rFonts w:eastAsia="Arial Unicode MS"/>
        </w:rPr>
        <w:tab/>
      </w:r>
    </w:p>
    <w:p w:rsidR="00BB5E43" w:rsidRDefault="00BB5E43" w:rsidP="00BB5E43">
      <w:pPr>
        <w:jc w:val="center"/>
        <w:rPr>
          <w:b/>
        </w:rPr>
      </w:pPr>
      <w:r>
        <w:rPr>
          <w:b/>
        </w:rPr>
        <w:t>2.1.3.Результаты деятельности по улучшению состояния  почвы</w:t>
      </w:r>
    </w:p>
    <w:p w:rsidR="00BB5E43" w:rsidRDefault="00BB5E43" w:rsidP="00BB5E43">
      <w:pPr>
        <w:rPr>
          <w:b/>
        </w:rPr>
      </w:pPr>
    </w:p>
    <w:p w:rsidR="00BB5E43" w:rsidRDefault="00A76B2C" w:rsidP="00BB5E43">
      <w:pPr>
        <w:jc w:val="both"/>
        <w:rPr>
          <w:rFonts w:eastAsia="Calibri"/>
          <w:lang w:eastAsia="en-US"/>
        </w:rPr>
      </w:pPr>
      <w:r>
        <w:rPr>
          <w:rFonts w:eastAsia="Calibri"/>
          <w:lang w:eastAsia="en-US"/>
        </w:rPr>
        <w:t xml:space="preserve">       В 2021</w:t>
      </w:r>
      <w:r w:rsidR="00BB5E43">
        <w:rPr>
          <w:rFonts w:eastAsia="Calibri"/>
          <w:lang w:eastAsia="en-US"/>
        </w:rPr>
        <w:t xml:space="preserve"> г. </w:t>
      </w:r>
      <w:r w:rsidR="00BB5E43">
        <w:rPr>
          <w:rFonts w:eastAsia="Calibri"/>
          <w:color w:val="000000"/>
          <w:spacing w:val="4"/>
          <w:shd w:val="clear" w:color="auto" w:fill="FFFFFF"/>
          <w:lang w:eastAsia="en-US"/>
        </w:rPr>
        <w:t>осуществлялся   государственный санитарно</w:t>
      </w:r>
      <w:r w:rsidR="00BB5E43">
        <w:rPr>
          <w:rFonts w:eastAsia="Calibri"/>
          <w:color w:val="000000"/>
          <w:spacing w:val="4"/>
          <w:shd w:val="clear" w:color="auto" w:fill="FFFFFF"/>
          <w:lang w:eastAsia="en-US"/>
        </w:rPr>
        <w:softHyphen/>
        <w:t xml:space="preserve">-эпидемиологический надзор территориальным отделам Управления </w:t>
      </w:r>
      <w:proofErr w:type="spellStart"/>
      <w:r w:rsidR="00BB5E43">
        <w:rPr>
          <w:rFonts w:eastAsia="Calibri"/>
          <w:color w:val="000000"/>
          <w:spacing w:val="4"/>
          <w:shd w:val="clear" w:color="auto" w:fill="FFFFFF"/>
          <w:lang w:eastAsia="en-US"/>
        </w:rPr>
        <w:t>Роспотребнадзора</w:t>
      </w:r>
      <w:proofErr w:type="spellEnd"/>
      <w:r w:rsidR="00BB5E43">
        <w:rPr>
          <w:rFonts w:eastAsia="Calibri"/>
          <w:color w:val="000000"/>
          <w:spacing w:val="4"/>
          <w:shd w:val="clear" w:color="auto" w:fill="FFFFFF"/>
          <w:lang w:eastAsia="en-US"/>
        </w:rPr>
        <w:t xml:space="preserve"> по Ханты-Мансийскому автономному округу - Югре </w:t>
      </w:r>
      <w:r w:rsidR="00BB5E43">
        <w:rPr>
          <w:rFonts w:eastAsia="Calibri"/>
          <w:lang w:eastAsia="en-US"/>
        </w:rPr>
        <w:t xml:space="preserve">за соблюдением санитарного законодательства в отношении объектов сбора, обработки и утилизации неопасных отходов, включая полигонов неопасных отходов.      </w:t>
      </w:r>
    </w:p>
    <w:p w:rsidR="00BB5E43" w:rsidRDefault="00A76B2C" w:rsidP="00BB5E43">
      <w:pPr>
        <w:jc w:val="both"/>
        <w:rPr>
          <w:rFonts w:eastAsia="Calibri"/>
          <w:color w:val="000000"/>
          <w:spacing w:val="4"/>
          <w:shd w:val="clear" w:color="auto" w:fill="FFFFFF"/>
          <w:lang w:eastAsia="en-US"/>
        </w:rPr>
      </w:pPr>
      <w:r>
        <w:rPr>
          <w:rFonts w:eastAsia="Calibri"/>
          <w:lang w:eastAsia="en-US"/>
        </w:rPr>
        <w:t xml:space="preserve">    По сравнению с прошлым 2020 </w:t>
      </w:r>
      <w:r w:rsidR="00A05130">
        <w:rPr>
          <w:rFonts w:eastAsia="Calibri"/>
          <w:lang w:eastAsia="en-US"/>
        </w:rPr>
        <w:t xml:space="preserve">годом в городе  Нефтеюганске </w:t>
      </w:r>
      <w:r w:rsidR="00BB5E43">
        <w:rPr>
          <w:rFonts w:eastAsia="Calibri"/>
          <w:lang w:eastAsia="en-US"/>
        </w:rPr>
        <w:t xml:space="preserve"> произошли изменение в количестве объектов  сбора, обработки и утилиз</w:t>
      </w:r>
      <w:r>
        <w:rPr>
          <w:rFonts w:eastAsia="Calibri"/>
          <w:lang w:eastAsia="en-US"/>
        </w:rPr>
        <w:t>ации неопасных отходов.   В 2021</w:t>
      </w:r>
      <w:r w:rsidR="00BB5E43">
        <w:rPr>
          <w:rFonts w:eastAsia="Calibri"/>
          <w:lang w:eastAsia="en-US"/>
        </w:rPr>
        <w:t xml:space="preserve"> году на территории города Нефтеюганска функционировали </w:t>
      </w:r>
      <w:r w:rsidR="00A246C6">
        <w:rPr>
          <w:rFonts w:eastAsia="Calibri"/>
          <w:lang w:eastAsia="en-US"/>
        </w:rPr>
        <w:t>3</w:t>
      </w:r>
      <w:r w:rsidR="00A05130">
        <w:rPr>
          <w:rFonts w:eastAsia="Calibri"/>
          <w:lang w:eastAsia="en-US"/>
        </w:rPr>
        <w:t xml:space="preserve"> (в 2020г-</w:t>
      </w:r>
      <w:r w:rsidR="00BB5E43">
        <w:rPr>
          <w:rFonts w:eastAsia="Calibri"/>
          <w:lang w:eastAsia="en-US"/>
        </w:rPr>
        <w:t>5</w:t>
      </w:r>
      <w:r w:rsidR="00A05130">
        <w:rPr>
          <w:rFonts w:eastAsia="Calibri"/>
          <w:lang w:eastAsia="en-US"/>
        </w:rPr>
        <w:t>)</w:t>
      </w:r>
      <w:r w:rsidR="00BB5E43">
        <w:rPr>
          <w:rFonts w:eastAsia="Calibri"/>
          <w:lang w:eastAsia="en-US"/>
        </w:rPr>
        <w:t xml:space="preserve">  объектов осуществляющие  сбор, обработку и утилизацию неопасных отходов, вкл</w:t>
      </w:r>
      <w:r w:rsidR="003B4832">
        <w:rPr>
          <w:rFonts w:eastAsia="Calibri"/>
          <w:lang w:eastAsia="en-US"/>
        </w:rPr>
        <w:t>ючая  деятельность полигона -1 .</w:t>
      </w:r>
    </w:p>
    <w:p w:rsidR="00A246C6" w:rsidRPr="00A246C6" w:rsidRDefault="00BB5E43" w:rsidP="00A246C6">
      <w:pPr>
        <w:pStyle w:val="a3"/>
        <w:rPr>
          <w:sz w:val="24"/>
          <w:szCs w:val="24"/>
        </w:rPr>
      </w:pPr>
      <w:r>
        <w:rPr>
          <w:rFonts w:eastAsia="Arial Unicode MS"/>
          <w:lang w:eastAsia="en-US"/>
        </w:rPr>
        <w:tab/>
      </w:r>
      <w:r>
        <w:rPr>
          <w:rFonts w:eastAsia="Arial Unicode MS"/>
          <w:sz w:val="24"/>
          <w:szCs w:val="24"/>
        </w:rPr>
        <w:t xml:space="preserve">Основными источниками загрязнения почвы  г. Нефтеюганска являются хозяйственная деятельность человека, производственные отходы промышленных предприятий </w:t>
      </w:r>
      <w:r w:rsidRPr="00A05130">
        <w:rPr>
          <w:rFonts w:eastAsia="Arial Unicode MS"/>
          <w:sz w:val="24"/>
          <w:szCs w:val="24"/>
        </w:rPr>
        <w:t>и в том числе строительные отходы, бытовые отходы с населенных мест города.</w:t>
      </w:r>
      <w:r w:rsidR="00A246C6" w:rsidRPr="00A05130">
        <w:rPr>
          <w:sz w:val="24"/>
          <w:szCs w:val="24"/>
        </w:rPr>
        <w:t xml:space="preserve">  В городе Нефтеюганске 25 микрорайонов и  промышленная зона</w:t>
      </w:r>
      <w:r w:rsidR="00A246C6">
        <w:rPr>
          <w:sz w:val="24"/>
          <w:szCs w:val="24"/>
        </w:rPr>
        <w:t xml:space="preserve">. В городе принята дворовая система накопления отходов на типовых контейнерных площадках и планово регулярный вывоз ТБО </w:t>
      </w:r>
      <w:proofErr w:type="spellStart"/>
      <w:r w:rsidR="00A246C6">
        <w:rPr>
          <w:sz w:val="24"/>
          <w:szCs w:val="24"/>
        </w:rPr>
        <w:t>спецавтотранспортом</w:t>
      </w:r>
      <w:proofErr w:type="spellEnd"/>
      <w:r w:rsidR="00A246C6">
        <w:rPr>
          <w:sz w:val="24"/>
          <w:szCs w:val="24"/>
        </w:rPr>
        <w:t xml:space="preserve"> на полигон ТБО. Расчет потребности в контейнерах для жилищного фонда и для общественно-деловой застройки приведен в Генеральной схеме очистки территории города Нефтеюганска, утвержденной постановлением администрации города от 20.01.2010г. №54 </w:t>
      </w:r>
      <w:r w:rsidR="00A246C6" w:rsidRPr="00A05130">
        <w:rPr>
          <w:rFonts w:cs="Calibri"/>
          <w:sz w:val="24"/>
          <w:szCs w:val="24"/>
        </w:rPr>
        <w:t>согласован</w:t>
      </w:r>
      <w:r w:rsidR="00A246C6">
        <w:rPr>
          <w:rFonts w:cs="Calibri"/>
          <w:sz w:val="24"/>
          <w:szCs w:val="24"/>
        </w:rPr>
        <w:t>ной</w:t>
      </w:r>
      <w:r w:rsidR="00A246C6" w:rsidRPr="00A05130">
        <w:rPr>
          <w:rFonts w:cs="Calibri"/>
          <w:sz w:val="24"/>
          <w:szCs w:val="24"/>
        </w:rPr>
        <w:t xml:space="preserve"> с </w:t>
      </w:r>
      <w:proofErr w:type="spellStart"/>
      <w:r w:rsidR="00A246C6" w:rsidRPr="00A05130">
        <w:rPr>
          <w:rFonts w:cs="Calibri"/>
          <w:sz w:val="24"/>
          <w:szCs w:val="24"/>
        </w:rPr>
        <w:t>Роспотребадзором</w:t>
      </w:r>
      <w:proofErr w:type="spellEnd"/>
      <w:r w:rsidR="00A246C6" w:rsidRPr="00A05130">
        <w:rPr>
          <w:sz w:val="24"/>
          <w:szCs w:val="24"/>
        </w:rPr>
        <w:t xml:space="preserve"> в рамках утверждённого  распоряжения Правительства ХМАО-Югры от 21.10.2016г. №559-рп. «Территориальная схема обращения с отходами, в том числе с твердыми коммунальными отходами </w:t>
      </w:r>
      <w:proofErr w:type="spellStart"/>
      <w:r w:rsidR="00A246C6" w:rsidRPr="00A05130">
        <w:rPr>
          <w:sz w:val="24"/>
          <w:szCs w:val="24"/>
        </w:rPr>
        <w:t>вХанты</w:t>
      </w:r>
      <w:proofErr w:type="spellEnd"/>
      <w:r w:rsidR="00A246C6" w:rsidRPr="00A05130">
        <w:rPr>
          <w:sz w:val="24"/>
          <w:szCs w:val="24"/>
        </w:rPr>
        <w:t xml:space="preserve">-Мансийском  автономным </w:t>
      </w:r>
      <w:proofErr w:type="spellStart"/>
      <w:r w:rsidR="00A246C6" w:rsidRPr="00A05130">
        <w:rPr>
          <w:sz w:val="24"/>
          <w:szCs w:val="24"/>
        </w:rPr>
        <w:t>округе</w:t>
      </w:r>
      <w:proofErr w:type="gramStart"/>
      <w:r w:rsidR="00A246C6" w:rsidRPr="00A05130">
        <w:rPr>
          <w:sz w:val="24"/>
          <w:szCs w:val="24"/>
        </w:rPr>
        <w:t>»</w:t>
      </w:r>
      <w:r w:rsidR="00A246C6" w:rsidRPr="00A246C6">
        <w:rPr>
          <w:sz w:val="24"/>
          <w:szCs w:val="24"/>
        </w:rPr>
        <w:t>и</w:t>
      </w:r>
      <w:proofErr w:type="spellEnd"/>
      <w:proofErr w:type="gramEnd"/>
      <w:r w:rsidR="00A246C6" w:rsidRPr="00A246C6">
        <w:rPr>
          <w:sz w:val="24"/>
          <w:szCs w:val="24"/>
        </w:rPr>
        <w:t xml:space="preserve"> составляет в целом по микрорайонам города, северного  квартала и прибрежной зоны  749 шт. (в расчет включены 17, 17А микрорайоны).</w:t>
      </w:r>
    </w:p>
    <w:p w:rsidR="00BB5E43" w:rsidRPr="003911EB" w:rsidRDefault="00A246C6" w:rsidP="003911EB">
      <w:pPr>
        <w:pStyle w:val="a3"/>
        <w:rPr>
          <w:sz w:val="24"/>
          <w:szCs w:val="24"/>
        </w:rPr>
      </w:pPr>
      <w:r>
        <w:rPr>
          <w:sz w:val="24"/>
          <w:szCs w:val="24"/>
        </w:rPr>
        <w:t xml:space="preserve">      В 2021 году  р</w:t>
      </w:r>
      <w:r w:rsidR="00BB5E43" w:rsidRPr="00A05130">
        <w:rPr>
          <w:sz w:val="24"/>
          <w:szCs w:val="24"/>
        </w:rPr>
        <w:t>аботы по содержанию террито</w:t>
      </w:r>
      <w:r w:rsidR="00A05130" w:rsidRPr="00A05130">
        <w:rPr>
          <w:sz w:val="24"/>
          <w:szCs w:val="24"/>
        </w:rPr>
        <w:t xml:space="preserve">рий проводятся в соответствии со </w:t>
      </w:r>
      <w:r w:rsidR="00BB5E43" w:rsidRPr="00A05130">
        <w:rPr>
          <w:sz w:val="24"/>
          <w:szCs w:val="24"/>
        </w:rPr>
        <w:t xml:space="preserve">схемой санитарной очистки, утвержденной </w:t>
      </w:r>
      <w:r w:rsidR="00A05130" w:rsidRPr="00A05130">
        <w:rPr>
          <w:sz w:val="24"/>
          <w:szCs w:val="24"/>
        </w:rPr>
        <w:t xml:space="preserve">Постановлением администрации г. Нефтеюганска от 6 марта 2017 г. N 35-нп "Об утверждении генеральной схемы санитарной очистки территории города Нефтеюганска" которая является неотъемлемой частью Генеральной схемы города Нефтеюганска, </w:t>
      </w:r>
    </w:p>
    <w:p w:rsidR="0061727A" w:rsidRPr="00385AFE" w:rsidRDefault="0061727A" w:rsidP="0061727A">
      <w:pPr>
        <w:jc w:val="both"/>
      </w:pPr>
      <w:proofErr w:type="gramStart"/>
      <w:r w:rsidRPr="00385AFE">
        <w:t>Федеральными законами от 28.12.2016 N 486-ФЗ и от 31.12.2017 N 503-ФЗ внесены изменения в Федеральный закон от 24.06.1998 N 89-ФЗ "Об отходах производства и потребления", вступившие в силу 01.01.2019, предусматривающие в том числе, что обращение с отходами на территории субъекта Российской Федерации обеспечивается региональными операторами в соответствии с региональной программой в области обращения с отходами и территориальной схемой обращения с</w:t>
      </w:r>
      <w:proofErr w:type="gramEnd"/>
      <w:r w:rsidRPr="00385AFE">
        <w:t xml:space="preserve"> отходами, а также наделение органов исполнительной власти субъектов Российской Федерации полномочиями по организации деятельности по накоплению твердых коммунальных отходов (далее - ТКО), в том числе раздельному, утверждению порядка раздельного накопления ГКО.</w:t>
      </w:r>
    </w:p>
    <w:p w:rsidR="0061727A" w:rsidRPr="00385AFE" w:rsidRDefault="0061727A" w:rsidP="0061727A">
      <w:pPr>
        <w:jc w:val="both"/>
      </w:pPr>
      <w:r w:rsidRPr="00385AFE">
        <w:t xml:space="preserve">       К полномочиям органов исполнительной власти субъектов Российской Федерации отнесена разработка и утверждение территориальной схемы обращения с отходами, в том числе с твердыми коммунальными отходами в порядке, а также разработка и утверждение порядка накопления (в том числе раздельного) ТКО.</w:t>
      </w:r>
    </w:p>
    <w:p w:rsidR="0061727A" w:rsidRPr="00385AFE" w:rsidRDefault="0061727A" w:rsidP="0061727A">
      <w:pPr>
        <w:jc w:val="both"/>
      </w:pPr>
      <w:r w:rsidRPr="00385AFE">
        <w:t xml:space="preserve">    Согласно статье 24.6 Закона N 89-ФЗ сбор, транспортирование, обработка, утилизация, обезвреживание, захоронение ТКО на территории субъекта Российской Федерации обеспечиваются одним или несколькими региональными операторами в соответствии с региональной программой в области обращения с отходами, в том числе с ТКО, и территориальной схемой обращения с отходами, в том числе с ТКО. При этом </w:t>
      </w:r>
      <w:r w:rsidRPr="00385AFE">
        <w:lastRenderedPageBreak/>
        <w:t>накопление, сбор, транспортирование, обработка, утилизация, обезвреживание и захоронение ТКО осуществляются в соответствии с Правилами N 1156.</w:t>
      </w:r>
    </w:p>
    <w:p w:rsidR="0061727A" w:rsidRPr="00385AFE" w:rsidRDefault="0061727A" w:rsidP="0061727A">
      <w:pPr>
        <w:jc w:val="both"/>
      </w:pPr>
      <w:r w:rsidRPr="00385AFE">
        <w:t xml:space="preserve">    Пунктом 13 Правил N 1156 и пунктом 148(12) Правил N 354 установлено, что региональный оператор несёт ответственность за обращение с ТКО с момента погрузки таких отходов в мусоровоз. При этом погрузка ТКО включает в себя уборку мест погрузки ТКО, под которой, согласно пункту 2 Правил N 1156, понимаются действия по подбору оброненных (просыпавшихся и др.) при погрузке ТКО и перемещению их в мусоровоз.</w:t>
      </w:r>
    </w:p>
    <w:p w:rsidR="0061727A" w:rsidRDefault="0061727A" w:rsidP="00906509">
      <w:pPr>
        <w:jc w:val="both"/>
      </w:pPr>
      <w:r w:rsidRPr="00385AFE">
        <w:t>Таким образом, уборка мест погрузки ТКО - действия по подбору оброненных (просыпавшихся и др.) при погрузке ТКО и перемещению их в мусоровоз, является обяза</w:t>
      </w:r>
      <w:r w:rsidR="00846674">
        <w:t xml:space="preserve">нностью регионального оператора </w:t>
      </w:r>
      <w:r w:rsidR="00846674">
        <w:tab/>
      </w:r>
      <w:r w:rsidR="005E5399" w:rsidRPr="00FE5D1E">
        <w:rPr>
          <w:rFonts w:cs="Calibri"/>
        </w:rPr>
        <w:t>АО «Югра-Экология»</w:t>
      </w:r>
      <w:r w:rsidR="00AF3D74">
        <w:rPr>
          <w:rFonts w:cs="Calibri"/>
        </w:rPr>
        <w:t>.</w:t>
      </w:r>
    </w:p>
    <w:p w:rsidR="00864827" w:rsidRDefault="00BB5E43" w:rsidP="004913BD">
      <w:pPr>
        <w:pStyle w:val="a3"/>
        <w:rPr>
          <w:sz w:val="24"/>
          <w:szCs w:val="24"/>
        </w:rPr>
      </w:pPr>
      <w:r>
        <w:rPr>
          <w:sz w:val="24"/>
          <w:szCs w:val="24"/>
        </w:rPr>
        <w:t>Фа</w:t>
      </w:r>
      <w:r w:rsidR="00127C0C">
        <w:rPr>
          <w:sz w:val="24"/>
          <w:szCs w:val="24"/>
        </w:rPr>
        <w:t xml:space="preserve">ктически в городе организовано </w:t>
      </w:r>
      <w:r w:rsidR="00FF67A0">
        <w:rPr>
          <w:sz w:val="24"/>
          <w:szCs w:val="24"/>
        </w:rPr>
        <w:t>177</w:t>
      </w:r>
      <w:r>
        <w:rPr>
          <w:sz w:val="24"/>
          <w:szCs w:val="24"/>
        </w:rPr>
        <w:t>контейнерных площадок, обслуживаемых ООО «</w:t>
      </w:r>
      <w:proofErr w:type="spellStart"/>
      <w:r>
        <w:rPr>
          <w:sz w:val="24"/>
          <w:szCs w:val="24"/>
        </w:rPr>
        <w:t>Спецкоммунсервис</w:t>
      </w:r>
      <w:proofErr w:type="gramStart"/>
      <w:r>
        <w:rPr>
          <w:sz w:val="24"/>
          <w:szCs w:val="24"/>
        </w:rPr>
        <w:t>»</w:t>
      </w:r>
      <w:r w:rsidR="004C4A38">
        <w:rPr>
          <w:sz w:val="24"/>
          <w:szCs w:val="24"/>
        </w:rPr>
        <w:t>и</w:t>
      </w:r>
      <w:proofErr w:type="gramEnd"/>
      <w:r w:rsidR="004C4A38" w:rsidRPr="003D2612">
        <w:rPr>
          <w:sz w:val="24"/>
          <w:szCs w:val="24"/>
        </w:rPr>
        <w:t>ИП</w:t>
      </w:r>
      <w:proofErr w:type="spellEnd"/>
      <w:r w:rsidR="004C4A38" w:rsidRPr="003D2612">
        <w:rPr>
          <w:sz w:val="24"/>
          <w:szCs w:val="24"/>
        </w:rPr>
        <w:t xml:space="preserve"> </w:t>
      </w:r>
      <w:proofErr w:type="spellStart"/>
      <w:r w:rsidR="004C4A38" w:rsidRPr="003D2612">
        <w:rPr>
          <w:sz w:val="24"/>
          <w:szCs w:val="24"/>
        </w:rPr>
        <w:t>Самигуллин</w:t>
      </w:r>
      <w:proofErr w:type="spellEnd"/>
      <w:r w:rsidR="004C4A38" w:rsidRPr="003D2612">
        <w:rPr>
          <w:sz w:val="24"/>
          <w:szCs w:val="24"/>
        </w:rPr>
        <w:t xml:space="preserve"> Р.З</w:t>
      </w:r>
      <w:r>
        <w:rPr>
          <w:sz w:val="24"/>
          <w:szCs w:val="24"/>
        </w:rPr>
        <w:t xml:space="preserve"> на которых установлено </w:t>
      </w:r>
      <w:r w:rsidR="004C4A38">
        <w:rPr>
          <w:sz w:val="24"/>
          <w:szCs w:val="24"/>
        </w:rPr>
        <w:t xml:space="preserve"> 772 контейнера </w:t>
      </w:r>
      <w:r w:rsidR="00127C0C">
        <w:rPr>
          <w:sz w:val="24"/>
          <w:szCs w:val="24"/>
        </w:rPr>
        <w:t xml:space="preserve">для сбора ТБО </w:t>
      </w:r>
      <w:r w:rsidR="004C4A38" w:rsidRPr="003D2612">
        <w:rPr>
          <w:sz w:val="24"/>
          <w:szCs w:val="24"/>
        </w:rPr>
        <w:t>и 69 мусоропроводов</w:t>
      </w:r>
      <w:r w:rsidR="00127C0C">
        <w:rPr>
          <w:sz w:val="24"/>
          <w:szCs w:val="24"/>
        </w:rPr>
        <w:t xml:space="preserve"> (многоквартирные жилые дома)</w:t>
      </w:r>
      <w:r w:rsidR="004C4A38" w:rsidRPr="003D2612">
        <w:rPr>
          <w:sz w:val="24"/>
          <w:szCs w:val="24"/>
        </w:rPr>
        <w:t>.</w:t>
      </w:r>
    </w:p>
    <w:p w:rsidR="00992A41" w:rsidRPr="003D2612" w:rsidRDefault="00992A41" w:rsidP="004913BD">
      <w:pPr>
        <w:pStyle w:val="a3"/>
        <w:rPr>
          <w:sz w:val="24"/>
          <w:szCs w:val="24"/>
        </w:rPr>
      </w:pPr>
      <w:r w:rsidRPr="003D2612">
        <w:rPr>
          <w:sz w:val="24"/>
          <w:szCs w:val="24"/>
        </w:rPr>
        <w:t>Вывоз отходов с территории земель общего пользования города Нефтеюганска осуществляют операторы по транспортированию твердых коммунальных отходов (далее-ТКО), имеющие лицензии на сбор, транспортирование, размещение отходов I-IV классов опасности, заключившие договор с региональным оператором по обращению с ТКО АО «Югра-Экология»: ООО «</w:t>
      </w:r>
      <w:proofErr w:type="spellStart"/>
      <w:r w:rsidRPr="003D2612">
        <w:rPr>
          <w:sz w:val="24"/>
          <w:szCs w:val="24"/>
        </w:rPr>
        <w:t>Спецкоммунсервис</w:t>
      </w:r>
      <w:proofErr w:type="spellEnd"/>
      <w:r w:rsidRPr="003D2612">
        <w:rPr>
          <w:sz w:val="24"/>
          <w:szCs w:val="24"/>
        </w:rPr>
        <w:t xml:space="preserve">», ИП </w:t>
      </w:r>
      <w:proofErr w:type="spellStart"/>
      <w:r w:rsidRPr="003D2612">
        <w:rPr>
          <w:sz w:val="24"/>
          <w:szCs w:val="24"/>
        </w:rPr>
        <w:t>Самигуллин</w:t>
      </w:r>
      <w:proofErr w:type="spellEnd"/>
      <w:r w:rsidRPr="003D2612">
        <w:rPr>
          <w:sz w:val="24"/>
          <w:szCs w:val="24"/>
        </w:rPr>
        <w:t xml:space="preserve"> Р.</w:t>
      </w:r>
      <w:proofErr w:type="gramStart"/>
      <w:r w:rsidRPr="003D2612">
        <w:rPr>
          <w:sz w:val="24"/>
          <w:szCs w:val="24"/>
        </w:rPr>
        <w:t>З</w:t>
      </w:r>
      <w:proofErr w:type="gramEnd"/>
      <w:r w:rsidRPr="003D2612">
        <w:rPr>
          <w:sz w:val="24"/>
          <w:szCs w:val="24"/>
        </w:rPr>
        <w:t xml:space="preserve"> с 177 контейнерных площадок, из 772 контейнеров и 69 мусоропроводов.</w:t>
      </w:r>
    </w:p>
    <w:p w:rsidR="00992A41" w:rsidRPr="003D2612" w:rsidRDefault="00992A41" w:rsidP="00290BAB">
      <w:pPr>
        <w:jc w:val="both"/>
      </w:pPr>
      <w:r w:rsidRPr="003D2612">
        <w:t>Вывоз ТКО и крупногабаритных отходов (далее-КГО) производится транспортировщиками согласно утвержденным графикам сбора и транспортирования отходов. Графики размещены на официальном сайте администрации города Нефтеюганска (Деятельность-</w:t>
      </w:r>
      <w:proofErr w:type="spellStart"/>
      <w:r w:rsidRPr="003D2612">
        <w:t>ГородскоехозяйствоПереход</w:t>
      </w:r>
      <w:proofErr w:type="spellEnd"/>
      <w:r w:rsidRPr="003D2612">
        <w:t xml:space="preserve"> на новую систему обращения с ТКО). Данные места накопления ТКО внесены в «Реестр мест (площадок) накопления ТКО </w:t>
      </w:r>
      <w:proofErr w:type="spellStart"/>
      <w:r w:rsidRPr="003D2612">
        <w:t>г</w:t>
      </w:r>
      <w:proofErr w:type="gramStart"/>
      <w:r w:rsidRPr="003D2612">
        <w:t>.Н</w:t>
      </w:r>
      <w:proofErr w:type="gramEnd"/>
      <w:r w:rsidRPr="003D2612">
        <w:t>ефтеюганска</w:t>
      </w:r>
      <w:proofErr w:type="spellEnd"/>
      <w:r w:rsidRPr="003D2612">
        <w:t xml:space="preserve">» (далее – Реестр), который выставлен на официальном сайте администрации. </w:t>
      </w:r>
    </w:p>
    <w:p w:rsidR="007A4930" w:rsidRDefault="007A4930" w:rsidP="007A4930">
      <w:pPr>
        <w:ind w:firstLine="709"/>
        <w:jc w:val="right"/>
        <w:rPr>
          <w:szCs w:val="20"/>
        </w:rPr>
      </w:pPr>
    </w:p>
    <w:p w:rsidR="00992A41" w:rsidRPr="007A4930" w:rsidRDefault="007A4930" w:rsidP="007A4930">
      <w:pPr>
        <w:ind w:firstLine="709"/>
        <w:jc w:val="right"/>
        <w:rPr>
          <w:szCs w:val="20"/>
        </w:rPr>
      </w:pPr>
      <w:r w:rsidRPr="007A4930">
        <w:rPr>
          <w:szCs w:val="20"/>
        </w:rPr>
        <w:t>Таблица 65</w:t>
      </w:r>
    </w:p>
    <w:tbl>
      <w:tblPr>
        <w:tblStyle w:val="11"/>
        <w:tblW w:w="9522" w:type="dxa"/>
        <w:tblInd w:w="108" w:type="dxa"/>
        <w:tblLook w:val="04A0" w:firstRow="1" w:lastRow="0" w:firstColumn="1" w:lastColumn="0" w:noHBand="0" w:noVBand="1"/>
      </w:tblPr>
      <w:tblGrid>
        <w:gridCol w:w="741"/>
        <w:gridCol w:w="3515"/>
        <w:gridCol w:w="2341"/>
        <w:gridCol w:w="2925"/>
      </w:tblGrid>
      <w:tr w:rsidR="00992A41" w:rsidRPr="003D2612" w:rsidTr="00860692">
        <w:tc>
          <w:tcPr>
            <w:tcW w:w="741" w:type="dxa"/>
          </w:tcPr>
          <w:p w:rsidR="00860692" w:rsidRPr="003D2612" w:rsidRDefault="00860692" w:rsidP="00860692">
            <w:pPr>
              <w:jc w:val="center"/>
              <w:rPr>
                <w:sz w:val="24"/>
                <w:szCs w:val="24"/>
              </w:rPr>
            </w:pPr>
            <w:r>
              <w:rPr>
                <w:sz w:val="24"/>
                <w:szCs w:val="24"/>
              </w:rPr>
              <w:t>№/№</w:t>
            </w:r>
          </w:p>
        </w:tc>
        <w:tc>
          <w:tcPr>
            <w:tcW w:w="3654" w:type="dxa"/>
          </w:tcPr>
          <w:p w:rsidR="00992A41" w:rsidRPr="003D2612" w:rsidRDefault="00992A41" w:rsidP="00DD7DC8">
            <w:pPr>
              <w:jc w:val="center"/>
              <w:rPr>
                <w:sz w:val="24"/>
                <w:szCs w:val="24"/>
              </w:rPr>
            </w:pPr>
            <w:r w:rsidRPr="003D2612">
              <w:rPr>
                <w:sz w:val="24"/>
                <w:szCs w:val="24"/>
              </w:rPr>
              <w:t>Наименование организации, осуществляющей сбор, транспортировку, размещение, утилизация ТКО</w:t>
            </w:r>
          </w:p>
        </w:tc>
        <w:tc>
          <w:tcPr>
            <w:tcW w:w="2126" w:type="dxa"/>
          </w:tcPr>
          <w:p w:rsidR="00992A41" w:rsidRPr="003D2612" w:rsidRDefault="00992A41" w:rsidP="00DD7DC8">
            <w:pPr>
              <w:jc w:val="center"/>
              <w:rPr>
                <w:sz w:val="24"/>
                <w:szCs w:val="24"/>
              </w:rPr>
            </w:pPr>
            <w:r w:rsidRPr="003D2612">
              <w:rPr>
                <w:sz w:val="24"/>
                <w:szCs w:val="24"/>
              </w:rPr>
              <w:t>Лицензия</w:t>
            </w:r>
          </w:p>
        </w:tc>
        <w:tc>
          <w:tcPr>
            <w:tcW w:w="3001" w:type="dxa"/>
          </w:tcPr>
          <w:p w:rsidR="00992A41" w:rsidRPr="003D2612" w:rsidRDefault="00992A41" w:rsidP="00DD7DC8">
            <w:pPr>
              <w:jc w:val="center"/>
              <w:rPr>
                <w:sz w:val="24"/>
                <w:szCs w:val="24"/>
              </w:rPr>
            </w:pPr>
            <w:r w:rsidRPr="003D2612">
              <w:rPr>
                <w:sz w:val="24"/>
                <w:szCs w:val="24"/>
              </w:rPr>
              <w:t>Вид деятельности</w:t>
            </w:r>
          </w:p>
        </w:tc>
      </w:tr>
      <w:tr w:rsidR="00992A41" w:rsidRPr="003D2612" w:rsidTr="00304088">
        <w:trPr>
          <w:trHeight w:val="286"/>
        </w:trPr>
        <w:tc>
          <w:tcPr>
            <w:tcW w:w="741" w:type="dxa"/>
          </w:tcPr>
          <w:p w:rsidR="00992A41" w:rsidRPr="003D2612" w:rsidRDefault="00992A41" w:rsidP="00DD7DC8">
            <w:pPr>
              <w:jc w:val="both"/>
              <w:rPr>
                <w:sz w:val="24"/>
                <w:szCs w:val="24"/>
              </w:rPr>
            </w:pPr>
            <w:r w:rsidRPr="003D2612">
              <w:rPr>
                <w:sz w:val="24"/>
                <w:szCs w:val="24"/>
              </w:rPr>
              <w:t>1</w:t>
            </w:r>
          </w:p>
        </w:tc>
        <w:tc>
          <w:tcPr>
            <w:tcW w:w="3654" w:type="dxa"/>
          </w:tcPr>
          <w:p w:rsidR="00992A41" w:rsidRPr="003D2612" w:rsidRDefault="00992A41" w:rsidP="00DD7DC8">
            <w:pPr>
              <w:jc w:val="both"/>
              <w:rPr>
                <w:sz w:val="24"/>
                <w:szCs w:val="24"/>
              </w:rPr>
            </w:pPr>
            <w:r w:rsidRPr="003D2612">
              <w:rPr>
                <w:sz w:val="24"/>
                <w:szCs w:val="24"/>
              </w:rPr>
              <w:t>ООО «</w:t>
            </w:r>
            <w:proofErr w:type="spellStart"/>
            <w:r w:rsidRPr="003D2612">
              <w:rPr>
                <w:sz w:val="24"/>
                <w:szCs w:val="24"/>
              </w:rPr>
              <w:t>Спецкоммунсервис</w:t>
            </w:r>
            <w:proofErr w:type="spellEnd"/>
            <w:r w:rsidRPr="003D2612">
              <w:rPr>
                <w:sz w:val="24"/>
                <w:szCs w:val="24"/>
              </w:rPr>
              <w:t>»</w:t>
            </w:r>
          </w:p>
        </w:tc>
        <w:tc>
          <w:tcPr>
            <w:tcW w:w="2126" w:type="dxa"/>
          </w:tcPr>
          <w:p w:rsidR="00992A41" w:rsidRPr="00B33DE5" w:rsidRDefault="00B33DE5" w:rsidP="00B33DE5">
            <w:pPr>
              <w:spacing w:after="255"/>
              <w:jc w:val="both"/>
              <w:rPr>
                <w:spacing w:val="-4"/>
                <w:sz w:val="24"/>
                <w:szCs w:val="24"/>
              </w:rPr>
            </w:pPr>
            <w:r w:rsidRPr="002C26DC">
              <w:rPr>
                <w:color w:val="000000"/>
                <w:sz w:val="24"/>
                <w:szCs w:val="24"/>
              </w:rPr>
              <w:t xml:space="preserve">Лицензия (72)-8869-СТР   от 10.02.2020 года «Деятельность по сбору, транспортированию, обработке, утилизации, обезвреживанию, размещению отходов 1-4 класса опасности. </w:t>
            </w:r>
            <w:proofErr w:type="gramStart"/>
            <w:r w:rsidRPr="002C26DC">
              <w:rPr>
                <w:color w:val="000000"/>
                <w:sz w:val="24"/>
                <w:szCs w:val="24"/>
              </w:rPr>
              <w:t>(</w:t>
            </w:r>
            <w:r w:rsidRPr="00304088">
              <w:rPr>
                <w:color w:val="000000"/>
                <w:sz w:val="20"/>
                <w:szCs w:val="20"/>
              </w:rPr>
              <w:t>ПЕРЕОФОРМЛЕНИЕ ЛИЦЕНЗИИ №86№00245  от 22.12.2015года</w:t>
            </w:r>
            <w:r>
              <w:rPr>
                <w:color w:val="000000"/>
                <w:sz w:val="24"/>
                <w:szCs w:val="24"/>
              </w:rPr>
              <w:t>.</w:t>
            </w:r>
            <w:proofErr w:type="gramEnd"/>
          </w:p>
        </w:tc>
        <w:tc>
          <w:tcPr>
            <w:tcW w:w="3001" w:type="dxa"/>
          </w:tcPr>
          <w:p w:rsidR="00992A41" w:rsidRPr="003D2612" w:rsidRDefault="00992A41" w:rsidP="00DD7DC8">
            <w:pPr>
              <w:jc w:val="both"/>
              <w:rPr>
                <w:sz w:val="24"/>
                <w:szCs w:val="24"/>
              </w:rPr>
            </w:pPr>
            <w:r w:rsidRPr="003D2612">
              <w:rPr>
                <w:sz w:val="24"/>
                <w:szCs w:val="24"/>
              </w:rPr>
              <w:t xml:space="preserve">на осуществление деятельности по сбору, транспортированию, обработке, утилизации, обезвреживанию, размещению отходов </w:t>
            </w:r>
            <w:r w:rsidRPr="003D2612">
              <w:rPr>
                <w:sz w:val="24"/>
                <w:szCs w:val="24"/>
                <w:lang w:val="en-US"/>
              </w:rPr>
              <w:t>I</w:t>
            </w:r>
            <w:r w:rsidRPr="003D2612">
              <w:rPr>
                <w:sz w:val="24"/>
                <w:szCs w:val="24"/>
              </w:rPr>
              <w:t>-</w:t>
            </w:r>
            <w:r w:rsidRPr="003D2612">
              <w:rPr>
                <w:sz w:val="24"/>
                <w:szCs w:val="24"/>
                <w:lang w:val="en-US"/>
              </w:rPr>
              <w:t>IV</w:t>
            </w:r>
            <w:r w:rsidRPr="003D2612">
              <w:rPr>
                <w:sz w:val="24"/>
                <w:szCs w:val="24"/>
              </w:rPr>
              <w:t xml:space="preserve"> класса опасности</w:t>
            </w:r>
          </w:p>
        </w:tc>
      </w:tr>
      <w:tr w:rsidR="00992A41" w:rsidRPr="003D2612" w:rsidTr="00860692">
        <w:tc>
          <w:tcPr>
            <w:tcW w:w="741" w:type="dxa"/>
          </w:tcPr>
          <w:p w:rsidR="00992A41" w:rsidRPr="003D2612" w:rsidRDefault="00992A41" w:rsidP="00DD7DC8">
            <w:pPr>
              <w:jc w:val="both"/>
              <w:rPr>
                <w:sz w:val="24"/>
                <w:szCs w:val="24"/>
              </w:rPr>
            </w:pPr>
            <w:r w:rsidRPr="003D2612">
              <w:rPr>
                <w:sz w:val="24"/>
                <w:szCs w:val="24"/>
              </w:rPr>
              <w:t>2</w:t>
            </w:r>
          </w:p>
        </w:tc>
        <w:tc>
          <w:tcPr>
            <w:tcW w:w="3654" w:type="dxa"/>
          </w:tcPr>
          <w:p w:rsidR="00992A41" w:rsidRPr="003D2612" w:rsidRDefault="00992A41" w:rsidP="00DD7DC8">
            <w:pPr>
              <w:jc w:val="both"/>
              <w:rPr>
                <w:sz w:val="24"/>
                <w:szCs w:val="24"/>
              </w:rPr>
            </w:pPr>
            <w:r w:rsidRPr="003D2612">
              <w:rPr>
                <w:sz w:val="24"/>
                <w:szCs w:val="24"/>
              </w:rPr>
              <w:t xml:space="preserve">ИП </w:t>
            </w:r>
            <w:proofErr w:type="spellStart"/>
            <w:r w:rsidRPr="003D2612">
              <w:rPr>
                <w:sz w:val="24"/>
                <w:szCs w:val="24"/>
              </w:rPr>
              <w:t>Самигуллин</w:t>
            </w:r>
            <w:proofErr w:type="spellEnd"/>
            <w:r w:rsidRPr="003D2612">
              <w:rPr>
                <w:sz w:val="24"/>
                <w:szCs w:val="24"/>
              </w:rPr>
              <w:t xml:space="preserve"> Р.З.</w:t>
            </w:r>
          </w:p>
        </w:tc>
        <w:tc>
          <w:tcPr>
            <w:tcW w:w="2126" w:type="dxa"/>
          </w:tcPr>
          <w:p w:rsidR="00992A41" w:rsidRPr="003D2612" w:rsidRDefault="00992A41" w:rsidP="00DD7DC8">
            <w:pPr>
              <w:jc w:val="center"/>
              <w:rPr>
                <w:sz w:val="24"/>
                <w:szCs w:val="24"/>
              </w:rPr>
            </w:pPr>
            <w:r w:rsidRPr="003D2612">
              <w:rPr>
                <w:sz w:val="24"/>
                <w:szCs w:val="24"/>
              </w:rPr>
              <w:t>86 №00233 от 15.10.2015</w:t>
            </w:r>
          </w:p>
        </w:tc>
        <w:tc>
          <w:tcPr>
            <w:tcW w:w="3001" w:type="dxa"/>
          </w:tcPr>
          <w:p w:rsidR="00992A41" w:rsidRPr="003D2612" w:rsidRDefault="00992A41" w:rsidP="00DD7DC8">
            <w:pPr>
              <w:jc w:val="both"/>
              <w:rPr>
                <w:sz w:val="24"/>
                <w:szCs w:val="24"/>
              </w:rPr>
            </w:pPr>
            <w:r w:rsidRPr="003D2612">
              <w:rPr>
                <w:sz w:val="24"/>
                <w:szCs w:val="24"/>
              </w:rPr>
              <w:t xml:space="preserve">на осуществление деятельности по сбору, транспортированию, обработке, утилизации, </w:t>
            </w:r>
            <w:r w:rsidRPr="003D2612">
              <w:rPr>
                <w:sz w:val="24"/>
                <w:szCs w:val="24"/>
              </w:rPr>
              <w:lastRenderedPageBreak/>
              <w:t xml:space="preserve">обезвреживанию, размещению отходов </w:t>
            </w:r>
            <w:proofErr w:type="gramStart"/>
            <w:r w:rsidRPr="003D2612">
              <w:rPr>
                <w:sz w:val="24"/>
                <w:szCs w:val="24"/>
                <w:lang w:val="en-US"/>
              </w:rPr>
              <w:t>I</w:t>
            </w:r>
            <w:proofErr w:type="gramEnd"/>
            <w:r w:rsidRPr="003D2612">
              <w:rPr>
                <w:sz w:val="24"/>
                <w:szCs w:val="24"/>
              </w:rPr>
              <w:t>-</w:t>
            </w:r>
            <w:r w:rsidRPr="003D2612">
              <w:rPr>
                <w:sz w:val="24"/>
                <w:szCs w:val="24"/>
                <w:lang w:val="en-US"/>
              </w:rPr>
              <w:t>IV</w:t>
            </w:r>
            <w:r w:rsidRPr="003D2612">
              <w:rPr>
                <w:sz w:val="24"/>
                <w:szCs w:val="24"/>
              </w:rPr>
              <w:t>класса опасности</w:t>
            </w:r>
          </w:p>
        </w:tc>
      </w:tr>
      <w:tr w:rsidR="00992A41" w:rsidRPr="003D2612" w:rsidTr="00860692">
        <w:tc>
          <w:tcPr>
            <w:tcW w:w="741" w:type="dxa"/>
          </w:tcPr>
          <w:p w:rsidR="00992A41" w:rsidRPr="003D2612" w:rsidRDefault="00992A41" w:rsidP="00DD7DC8">
            <w:pPr>
              <w:jc w:val="both"/>
              <w:rPr>
                <w:sz w:val="24"/>
                <w:szCs w:val="24"/>
              </w:rPr>
            </w:pPr>
            <w:r w:rsidRPr="003D2612">
              <w:rPr>
                <w:sz w:val="24"/>
                <w:szCs w:val="24"/>
              </w:rPr>
              <w:lastRenderedPageBreak/>
              <w:t>3</w:t>
            </w:r>
          </w:p>
        </w:tc>
        <w:tc>
          <w:tcPr>
            <w:tcW w:w="3654" w:type="dxa"/>
          </w:tcPr>
          <w:p w:rsidR="00992A41" w:rsidRPr="003D2612" w:rsidRDefault="00992A41" w:rsidP="00DD7DC8">
            <w:pPr>
              <w:jc w:val="both"/>
              <w:rPr>
                <w:sz w:val="24"/>
                <w:szCs w:val="24"/>
              </w:rPr>
            </w:pPr>
            <w:r w:rsidRPr="003D2612">
              <w:rPr>
                <w:sz w:val="24"/>
                <w:szCs w:val="24"/>
              </w:rPr>
              <w:t>ООО «</w:t>
            </w:r>
            <w:proofErr w:type="spellStart"/>
            <w:r w:rsidRPr="003D2612">
              <w:rPr>
                <w:sz w:val="24"/>
                <w:szCs w:val="24"/>
              </w:rPr>
              <w:t>Спецкоммунсервис</w:t>
            </w:r>
            <w:proofErr w:type="spellEnd"/>
            <w:r w:rsidRPr="003D2612">
              <w:rPr>
                <w:sz w:val="24"/>
                <w:szCs w:val="24"/>
              </w:rPr>
              <w:t>»</w:t>
            </w:r>
          </w:p>
        </w:tc>
        <w:tc>
          <w:tcPr>
            <w:tcW w:w="2126" w:type="dxa"/>
          </w:tcPr>
          <w:p w:rsidR="00992A41" w:rsidRPr="003D2612" w:rsidRDefault="00992A41" w:rsidP="00DD7DC8">
            <w:pPr>
              <w:jc w:val="both"/>
              <w:rPr>
                <w:sz w:val="24"/>
                <w:szCs w:val="24"/>
              </w:rPr>
            </w:pPr>
            <w:r w:rsidRPr="003D2612">
              <w:rPr>
                <w:sz w:val="24"/>
                <w:szCs w:val="24"/>
              </w:rPr>
              <w:t>86-00563-3-00870-311214 от 20.04.98г.</w:t>
            </w:r>
          </w:p>
        </w:tc>
        <w:tc>
          <w:tcPr>
            <w:tcW w:w="3001" w:type="dxa"/>
          </w:tcPr>
          <w:p w:rsidR="00992A41" w:rsidRPr="003D2612" w:rsidRDefault="00992A41" w:rsidP="00DD7DC8">
            <w:pPr>
              <w:jc w:val="both"/>
              <w:rPr>
                <w:sz w:val="24"/>
                <w:szCs w:val="24"/>
              </w:rPr>
            </w:pPr>
            <w:r w:rsidRPr="003D2612">
              <w:rPr>
                <w:sz w:val="24"/>
                <w:szCs w:val="24"/>
              </w:rPr>
              <w:t xml:space="preserve">Полигон по обезвреживанию твердых бытовых отходов для </w:t>
            </w:r>
            <w:proofErr w:type="spellStart"/>
            <w:r w:rsidRPr="003D2612">
              <w:rPr>
                <w:sz w:val="24"/>
                <w:szCs w:val="24"/>
              </w:rPr>
              <w:t>г</w:t>
            </w:r>
            <w:proofErr w:type="gramStart"/>
            <w:r w:rsidRPr="003D2612">
              <w:rPr>
                <w:sz w:val="24"/>
                <w:szCs w:val="24"/>
              </w:rPr>
              <w:t>.Н</w:t>
            </w:r>
            <w:proofErr w:type="gramEnd"/>
            <w:r w:rsidRPr="003D2612">
              <w:rPr>
                <w:sz w:val="24"/>
                <w:szCs w:val="24"/>
              </w:rPr>
              <w:t>ефтеюганска</w:t>
            </w:r>
            <w:proofErr w:type="spellEnd"/>
            <w:r w:rsidRPr="003D2612">
              <w:rPr>
                <w:sz w:val="24"/>
                <w:szCs w:val="24"/>
              </w:rPr>
              <w:t>.</w:t>
            </w:r>
          </w:p>
        </w:tc>
      </w:tr>
    </w:tbl>
    <w:p w:rsidR="00992A41" w:rsidRPr="003D2612" w:rsidRDefault="00992A41" w:rsidP="00992A41">
      <w:pPr>
        <w:jc w:val="both"/>
        <w:rPr>
          <w:i/>
          <w:sz w:val="20"/>
          <w:szCs w:val="20"/>
        </w:rPr>
      </w:pPr>
    </w:p>
    <w:p w:rsidR="00992A41" w:rsidRPr="00F80166" w:rsidRDefault="00992A41" w:rsidP="00992A41">
      <w:pPr>
        <w:ind w:firstLine="708"/>
        <w:jc w:val="both"/>
        <w:rPr>
          <w:color w:val="000000" w:themeColor="text1"/>
        </w:rPr>
      </w:pPr>
      <w:r w:rsidRPr="00F80166">
        <w:rPr>
          <w:color w:val="000000" w:themeColor="text1"/>
        </w:rPr>
        <w:t xml:space="preserve">ИП </w:t>
      </w:r>
      <w:proofErr w:type="spellStart"/>
      <w:r w:rsidRPr="00F80166">
        <w:rPr>
          <w:color w:val="000000" w:themeColor="text1"/>
        </w:rPr>
        <w:t>Самигуллин</w:t>
      </w:r>
      <w:proofErr w:type="spellEnd"/>
      <w:r w:rsidRPr="00F80166">
        <w:rPr>
          <w:color w:val="000000" w:themeColor="text1"/>
        </w:rPr>
        <w:t xml:space="preserve"> в 2021 году наличие спецтранспорта в количестве 11 шт.: ЗИЛ</w:t>
      </w:r>
      <w:proofErr w:type="gramStart"/>
      <w:r w:rsidRPr="00F80166">
        <w:rPr>
          <w:color w:val="000000" w:themeColor="text1"/>
        </w:rPr>
        <w:t>,Г</w:t>
      </w:r>
      <w:proofErr w:type="gramEnd"/>
      <w:r w:rsidRPr="00F80166">
        <w:rPr>
          <w:color w:val="000000" w:themeColor="text1"/>
        </w:rPr>
        <w:t>АЗ,КАМАЗ,МАЗ. Дезинфекция мусоровозов согласно заключенному договору от 18.01.2019 №01 на оказание услуг по мойке автотранспорта с ИП «</w:t>
      </w:r>
      <w:proofErr w:type="spellStart"/>
      <w:r w:rsidRPr="00F80166">
        <w:rPr>
          <w:color w:val="000000" w:themeColor="text1"/>
        </w:rPr>
        <w:t>Змикало</w:t>
      </w:r>
      <w:proofErr w:type="spellEnd"/>
      <w:r w:rsidRPr="00F80166">
        <w:rPr>
          <w:color w:val="000000" w:themeColor="text1"/>
        </w:rPr>
        <w:t xml:space="preserve"> Т.В.» производится с помощью очистки </w:t>
      </w:r>
      <w:proofErr w:type="spellStart"/>
      <w:r w:rsidRPr="00F80166">
        <w:rPr>
          <w:color w:val="000000" w:themeColor="text1"/>
        </w:rPr>
        <w:t>щеткими</w:t>
      </w:r>
      <w:proofErr w:type="spellEnd"/>
      <w:r w:rsidRPr="00F80166">
        <w:rPr>
          <w:color w:val="000000" w:themeColor="text1"/>
        </w:rPr>
        <w:t xml:space="preserve"> и специальным пылесосом кабины, кузова от загрязнений. Мойка наружных частей автотранспорта щелочным и мыльным раствором, ополаскивание. Внутренняя мойка машин ручным и механизированным способом. При выезде из полигона автомобилей приезжают через ванну с дезинфицирующим раствором. </w:t>
      </w:r>
    </w:p>
    <w:p w:rsidR="0075196E" w:rsidRPr="00F80166" w:rsidRDefault="00992A41" w:rsidP="0075196E">
      <w:pPr>
        <w:pStyle w:val="a8"/>
        <w:ind w:left="0"/>
        <w:jc w:val="both"/>
        <w:rPr>
          <w:color w:val="000000"/>
          <w:sz w:val="24"/>
          <w:szCs w:val="24"/>
        </w:rPr>
      </w:pPr>
      <w:r w:rsidRPr="00F80166">
        <w:rPr>
          <w:color w:val="000000" w:themeColor="text1"/>
          <w:sz w:val="24"/>
          <w:szCs w:val="24"/>
        </w:rPr>
        <w:t>ООО «</w:t>
      </w:r>
      <w:proofErr w:type="spellStart"/>
      <w:r w:rsidRPr="00F80166">
        <w:rPr>
          <w:color w:val="000000" w:themeColor="text1"/>
          <w:sz w:val="24"/>
          <w:szCs w:val="24"/>
        </w:rPr>
        <w:t>Спецкоммунсервис</w:t>
      </w:r>
      <w:proofErr w:type="spellEnd"/>
      <w:r w:rsidRPr="00F80166">
        <w:rPr>
          <w:color w:val="000000" w:themeColor="text1"/>
          <w:sz w:val="24"/>
          <w:szCs w:val="24"/>
        </w:rPr>
        <w:t xml:space="preserve">» в 2021 году </w:t>
      </w:r>
      <w:r w:rsidR="00BA024F">
        <w:rPr>
          <w:color w:val="000000"/>
          <w:sz w:val="24"/>
          <w:szCs w:val="24"/>
        </w:rPr>
        <w:t>н</w:t>
      </w:r>
      <w:r w:rsidR="0039331C" w:rsidRPr="00F80166">
        <w:rPr>
          <w:color w:val="000000"/>
          <w:sz w:val="24"/>
          <w:szCs w:val="24"/>
        </w:rPr>
        <w:t xml:space="preserve">а балансе предприятия состоят 39 единицы техники (5ед </w:t>
      </w:r>
      <w:proofErr w:type="spellStart"/>
      <w:r w:rsidR="0039331C" w:rsidRPr="00F80166">
        <w:rPr>
          <w:color w:val="000000"/>
          <w:sz w:val="24"/>
          <w:szCs w:val="24"/>
        </w:rPr>
        <w:t>лег.а</w:t>
      </w:r>
      <w:proofErr w:type="spellEnd"/>
      <w:r w:rsidR="0039331C" w:rsidRPr="00F80166">
        <w:rPr>
          <w:color w:val="000000"/>
          <w:sz w:val="24"/>
          <w:szCs w:val="24"/>
        </w:rPr>
        <w:t>/</w:t>
      </w:r>
      <w:proofErr w:type="spellStart"/>
      <w:r w:rsidR="0039331C" w:rsidRPr="00F80166">
        <w:rPr>
          <w:color w:val="000000"/>
          <w:sz w:val="24"/>
          <w:szCs w:val="24"/>
        </w:rPr>
        <w:t>тр</w:t>
      </w:r>
      <w:proofErr w:type="spellEnd"/>
      <w:r w:rsidR="0039331C" w:rsidRPr="00F80166">
        <w:rPr>
          <w:color w:val="000000"/>
          <w:sz w:val="24"/>
          <w:szCs w:val="24"/>
        </w:rPr>
        <w:t xml:space="preserve">, 34 ед. спецтранспорта из них 3 </w:t>
      </w:r>
      <w:proofErr w:type="spellStart"/>
      <w:r w:rsidR="0039331C" w:rsidRPr="00F80166">
        <w:rPr>
          <w:color w:val="000000"/>
          <w:sz w:val="24"/>
          <w:szCs w:val="24"/>
        </w:rPr>
        <w:t>ед</w:t>
      </w:r>
      <w:proofErr w:type="spellEnd"/>
      <w:r w:rsidR="0039331C" w:rsidRPr="00F80166">
        <w:rPr>
          <w:color w:val="000000"/>
          <w:sz w:val="24"/>
          <w:szCs w:val="24"/>
        </w:rPr>
        <w:t xml:space="preserve">, закреплённые за полигоном ТБО), </w:t>
      </w:r>
      <w:r w:rsidR="00BA024F" w:rsidRPr="00F80166">
        <w:rPr>
          <w:color w:val="000000" w:themeColor="text1"/>
          <w:sz w:val="24"/>
          <w:szCs w:val="24"/>
        </w:rPr>
        <w:t xml:space="preserve">ГАЗ,ЗИЛ,КАМАЗ,МАЗ. </w:t>
      </w:r>
      <w:r w:rsidR="0039331C" w:rsidRPr="00F80166">
        <w:rPr>
          <w:color w:val="000000"/>
          <w:sz w:val="24"/>
          <w:szCs w:val="24"/>
        </w:rPr>
        <w:t xml:space="preserve">на линии работает около 20-22 единицы техники </w:t>
      </w:r>
      <w:proofErr w:type="spellStart"/>
      <w:r w:rsidR="0039331C" w:rsidRPr="00F80166">
        <w:rPr>
          <w:color w:val="000000"/>
          <w:sz w:val="24"/>
          <w:szCs w:val="24"/>
        </w:rPr>
        <w:t>ежедневно</w:t>
      </w:r>
      <w:proofErr w:type="gramStart"/>
      <w:r w:rsidR="0039331C" w:rsidRPr="00F80166">
        <w:rPr>
          <w:color w:val="000000"/>
          <w:sz w:val="24"/>
          <w:szCs w:val="24"/>
        </w:rPr>
        <w:t>.</w:t>
      </w:r>
      <w:r w:rsidRPr="00F80166">
        <w:rPr>
          <w:color w:val="000000" w:themeColor="text1"/>
          <w:sz w:val="24"/>
          <w:szCs w:val="24"/>
        </w:rPr>
        <w:t>Н</w:t>
      </w:r>
      <w:proofErr w:type="gramEnd"/>
      <w:r w:rsidRPr="00F80166">
        <w:rPr>
          <w:color w:val="000000" w:themeColor="text1"/>
          <w:sz w:val="24"/>
          <w:szCs w:val="24"/>
        </w:rPr>
        <w:t>а</w:t>
      </w:r>
      <w:proofErr w:type="spellEnd"/>
      <w:r w:rsidRPr="00F80166">
        <w:rPr>
          <w:color w:val="000000" w:themeColor="text1"/>
          <w:sz w:val="24"/>
          <w:szCs w:val="24"/>
        </w:rPr>
        <w:t xml:space="preserve"> выезде территории полигона оборудована дезинфекционная ванна для санитарной обработки мусоровозов размером 8*3 м, наполненная опилками, смоченными 3%раствором лизола. Кроме того, автомобили моются при помощи поливомоечной машины. Стоки от мойки контейнеров попадают на поверхность покрытых промежуточной изоляцией рабочих карт полигона для их испарения. В качестве изолирующего слоя используется песок.</w:t>
      </w:r>
    </w:p>
    <w:p w:rsidR="00992A41" w:rsidRPr="003D2612" w:rsidRDefault="00992A41" w:rsidP="00992A41">
      <w:pPr>
        <w:ind w:firstLine="708"/>
        <w:jc w:val="both"/>
        <w:rPr>
          <w:color w:val="000000" w:themeColor="text1"/>
        </w:rPr>
      </w:pPr>
    </w:p>
    <w:p w:rsidR="00106021" w:rsidRDefault="007F4C7B" w:rsidP="002A3B63">
      <w:pPr>
        <w:pStyle w:val="a3"/>
        <w:rPr>
          <w:sz w:val="24"/>
          <w:szCs w:val="24"/>
        </w:rPr>
      </w:pPr>
      <w:r w:rsidRPr="002A3B63">
        <w:rPr>
          <w:sz w:val="24"/>
          <w:szCs w:val="24"/>
        </w:rPr>
        <w:t xml:space="preserve">    В жилом фонде города Нефтеюганска имеется - 302 мусоропроводов,  из них эксплуатируются 69. Мероприятия по дезинфекции, дератизации и дезинсекции осуществляют управляющие компании, обслуживающие жилой фонд. </w:t>
      </w:r>
      <w:r w:rsidR="00992A41" w:rsidRPr="002A3B63">
        <w:rPr>
          <w:sz w:val="24"/>
          <w:szCs w:val="24"/>
        </w:rPr>
        <w:t>Содержание  мусоропроводов и их дезинфекции в жилых многоквартирных домах города Нефтеюганска, в соответствии с Постановлением Правительства РФ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 осуществляется управляющими компаниям</w:t>
      </w:r>
      <w:proofErr w:type="gramStart"/>
      <w:r w:rsidR="00992A41" w:rsidRPr="002A3B63">
        <w:rPr>
          <w:sz w:val="24"/>
          <w:szCs w:val="24"/>
        </w:rPr>
        <w:t>и(</w:t>
      </w:r>
      <w:proofErr w:type="gramEnd"/>
      <w:r w:rsidR="00992A41" w:rsidRPr="002A3B63">
        <w:rPr>
          <w:sz w:val="24"/>
          <w:szCs w:val="24"/>
        </w:rPr>
        <w:t xml:space="preserve"> АО "Центральный участок", ООО "Сибирский двор и Компания", АО "Сфера жилья", АО "МСК-Сервис", ООО УК "Эталон", ООО УК "</w:t>
      </w:r>
      <w:proofErr w:type="spellStart"/>
      <w:r w:rsidR="00992A41" w:rsidRPr="002A3B63">
        <w:rPr>
          <w:sz w:val="24"/>
          <w:szCs w:val="24"/>
        </w:rPr>
        <w:t>Югансксевер</w:t>
      </w:r>
      <w:proofErr w:type="spellEnd"/>
      <w:r w:rsidR="00992A41" w:rsidRPr="002A3B63">
        <w:rPr>
          <w:sz w:val="24"/>
          <w:szCs w:val="24"/>
        </w:rPr>
        <w:t>", ООО "Сибирский дом", ОАО "ЖЭУ № 6", ООО УК "Система", ООО УК "</w:t>
      </w:r>
      <w:proofErr w:type="spellStart"/>
      <w:r w:rsidR="00992A41" w:rsidRPr="002A3B63">
        <w:rPr>
          <w:sz w:val="24"/>
          <w:szCs w:val="24"/>
        </w:rPr>
        <w:t>СибСпецСтрой</w:t>
      </w:r>
      <w:proofErr w:type="spellEnd"/>
      <w:r w:rsidR="00992A41" w:rsidRPr="002A3B63">
        <w:rPr>
          <w:sz w:val="24"/>
          <w:szCs w:val="24"/>
        </w:rPr>
        <w:t>")</w:t>
      </w:r>
      <w:proofErr w:type="gramStart"/>
      <w:r w:rsidR="00992A41" w:rsidRPr="002A3B63">
        <w:rPr>
          <w:sz w:val="24"/>
          <w:szCs w:val="24"/>
        </w:rPr>
        <w:t>,г</w:t>
      </w:r>
      <w:proofErr w:type="gramEnd"/>
      <w:r w:rsidR="00992A41" w:rsidRPr="002A3B63">
        <w:rPr>
          <w:sz w:val="24"/>
          <w:szCs w:val="24"/>
        </w:rPr>
        <w:t xml:space="preserve">де в обязательном порядке в содержание общего имущества многоквартирных домов, находящихся в их управлении, включены работы, выполняемые в целях надлежащего содержания мусоропроводов многоквартирных домов: -проверка технического состояния и работоспособности элементов мусоропровода; -при выявлении засоров - незамедлительное их устранение; </w:t>
      </w:r>
      <w:r w:rsidRPr="002A3B63">
        <w:rPr>
          <w:sz w:val="24"/>
          <w:szCs w:val="24"/>
        </w:rPr>
        <w:t xml:space="preserve">-чистка, </w:t>
      </w:r>
      <w:r w:rsidRPr="002A3B63">
        <w:rPr>
          <w:sz w:val="24"/>
          <w:szCs w:val="24"/>
        </w:rPr>
        <w:tab/>
        <w:t xml:space="preserve">промывка </w:t>
      </w:r>
      <w:r w:rsidRPr="002A3B63">
        <w:rPr>
          <w:sz w:val="24"/>
          <w:szCs w:val="24"/>
        </w:rPr>
        <w:tab/>
        <w:t xml:space="preserve">и </w:t>
      </w:r>
      <w:r w:rsidR="00992A41" w:rsidRPr="002A3B63">
        <w:rPr>
          <w:sz w:val="24"/>
          <w:szCs w:val="24"/>
        </w:rPr>
        <w:t xml:space="preserve">дезинфекция </w:t>
      </w:r>
      <w:r w:rsidR="00992A41" w:rsidRPr="002A3B63">
        <w:rPr>
          <w:sz w:val="24"/>
          <w:szCs w:val="24"/>
        </w:rPr>
        <w:tab/>
        <w:t xml:space="preserve">загрузочных </w:t>
      </w:r>
      <w:r w:rsidR="00992A41" w:rsidRPr="002A3B63">
        <w:rPr>
          <w:sz w:val="24"/>
          <w:szCs w:val="24"/>
        </w:rPr>
        <w:tab/>
        <w:t xml:space="preserve">клапанов </w:t>
      </w:r>
      <w:r w:rsidR="00992A41" w:rsidRPr="002A3B63">
        <w:rPr>
          <w:sz w:val="24"/>
          <w:szCs w:val="24"/>
        </w:rPr>
        <w:tab/>
        <w:t>стволов</w:t>
      </w:r>
      <w:r w:rsidR="009A7C79" w:rsidRPr="002A3B63">
        <w:rPr>
          <w:sz w:val="24"/>
          <w:szCs w:val="24"/>
        </w:rPr>
        <w:t xml:space="preserve">. </w:t>
      </w:r>
    </w:p>
    <w:p w:rsidR="00106021" w:rsidRDefault="003B6C0A" w:rsidP="002A3B63">
      <w:pPr>
        <w:pStyle w:val="a3"/>
        <w:rPr>
          <w:sz w:val="24"/>
          <w:szCs w:val="24"/>
        </w:rPr>
      </w:pPr>
      <w:r>
        <w:rPr>
          <w:sz w:val="24"/>
          <w:szCs w:val="24"/>
        </w:rPr>
        <w:t xml:space="preserve">     </w:t>
      </w:r>
      <w:r w:rsidR="009A7C79" w:rsidRPr="002A3B63">
        <w:rPr>
          <w:sz w:val="24"/>
          <w:szCs w:val="24"/>
        </w:rPr>
        <w:t>Вывоз отходов из 69 мусоропроводов города осуществляют операторы по транспортированию ТКО, а именно: ООО «</w:t>
      </w:r>
      <w:proofErr w:type="spellStart"/>
      <w:r w:rsidR="009A7C79" w:rsidRPr="002A3B63">
        <w:rPr>
          <w:sz w:val="24"/>
          <w:szCs w:val="24"/>
        </w:rPr>
        <w:t>Спецкоммунсервис</w:t>
      </w:r>
      <w:proofErr w:type="spellEnd"/>
      <w:r w:rsidR="009A7C79" w:rsidRPr="002A3B63">
        <w:rPr>
          <w:sz w:val="24"/>
          <w:szCs w:val="24"/>
        </w:rPr>
        <w:t xml:space="preserve">», ИП </w:t>
      </w:r>
      <w:proofErr w:type="spellStart"/>
      <w:r w:rsidR="009A7C79" w:rsidRPr="002A3B63">
        <w:rPr>
          <w:sz w:val="24"/>
          <w:szCs w:val="24"/>
        </w:rPr>
        <w:t>Самигуллин</w:t>
      </w:r>
      <w:proofErr w:type="spellEnd"/>
      <w:r w:rsidR="009A7C79" w:rsidRPr="002A3B63">
        <w:rPr>
          <w:sz w:val="24"/>
          <w:szCs w:val="24"/>
        </w:rPr>
        <w:t xml:space="preserve"> Р.З.</w:t>
      </w:r>
    </w:p>
    <w:p w:rsidR="00106021" w:rsidRDefault="00106021" w:rsidP="002A3B63">
      <w:pPr>
        <w:pStyle w:val="a3"/>
        <w:rPr>
          <w:sz w:val="24"/>
          <w:szCs w:val="24"/>
        </w:rPr>
      </w:pPr>
    </w:p>
    <w:p w:rsidR="002A3B63" w:rsidRDefault="002A3B63" w:rsidP="002A3B63">
      <w:pPr>
        <w:pStyle w:val="a3"/>
        <w:rPr>
          <w:sz w:val="24"/>
          <w:szCs w:val="24"/>
        </w:rPr>
      </w:pPr>
      <w:r w:rsidRPr="002A3B63">
        <w:rPr>
          <w:sz w:val="24"/>
          <w:szCs w:val="24"/>
        </w:rPr>
        <w:t>В 2018-2021 году  выполнены работы по ремонту 50 контейнерных площадок, количество контейнерных площадок расположенных на землях общего</w:t>
      </w:r>
      <w:r w:rsidR="00106021">
        <w:rPr>
          <w:sz w:val="24"/>
          <w:szCs w:val="24"/>
        </w:rPr>
        <w:t xml:space="preserve"> пользования требующих ремонта 2</w:t>
      </w:r>
      <w:r w:rsidRPr="002A3B63">
        <w:rPr>
          <w:sz w:val="24"/>
          <w:szCs w:val="24"/>
        </w:rPr>
        <w:t>8 штук. Мойка контейнеров для ТБО осуществляется на специальной площадке полигона ТБО ООО «</w:t>
      </w:r>
      <w:proofErr w:type="spellStart"/>
      <w:r w:rsidRPr="002A3B63">
        <w:rPr>
          <w:sz w:val="24"/>
          <w:szCs w:val="24"/>
        </w:rPr>
        <w:t>Спецкоммунсервис</w:t>
      </w:r>
      <w:proofErr w:type="spellEnd"/>
      <w:r w:rsidRPr="002A3B63">
        <w:rPr>
          <w:sz w:val="24"/>
          <w:szCs w:val="24"/>
        </w:rPr>
        <w:t>» в теплое время года, в зимний период осуществляется механическая зачистка контейнеров и шасси автомобиля от остатков отходов. Дезинфекция  наружной и внутренней части контейнеров проводится аэрозольным с</w:t>
      </w:r>
      <w:r>
        <w:rPr>
          <w:sz w:val="24"/>
          <w:szCs w:val="24"/>
        </w:rPr>
        <w:t xml:space="preserve">пособом. </w:t>
      </w:r>
      <w:proofErr w:type="gramStart"/>
      <w:r>
        <w:rPr>
          <w:sz w:val="24"/>
          <w:szCs w:val="24"/>
        </w:rPr>
        <w:t xml:space="preserve">Периодичность санитарной обработки сборников определяется </w:t>
      </w:r>
      <w:r>
        <w:rPr>
          <w:sz w:val="24"/>
          <w:szCs w:val="24"/>
        </w:rPr>
        <w:lastRenderedPageBreak/>
        <w:t xml:space="preserve">системой сбора и удаления и принимается при несменяемой системе сбора и удаления отходов: для северной (летний период) и средней зон – один раз в 15 дней. </w:t>
      </w:r>
      <w:proofErr w:type="gramEnd"/>
    </w:p>
    <w:p w:rsidR="007F4C7B" w:rsidRPr="00425DAA" w:rsidRDefault="002A3B63" w:rsidP="00425DAA">
      <w:pPr>
        <w:pStyle w:val="a3"/>
        <w:rPr>
          <w:sz w:val="24"/>
          <w:szCs w:val="24"/>
        </w:rPr>
      </w:pPr>
      <w:r>
        <w:rPr>
          <w:sz w:val="24"/>
          <w:szCs w:val="24"/>
        </w:rPr>
        <w:t xml:space="preserve">          Стоки после мойки мусоровозов вывозятся на карты складирования ТБО и используются для увлажнения отходов. </w:t>
      </w:r>
    </w:p>
    <w:p w:rsidR="00CD6618" w:rsidRPr="003D2612" w:rsidRDefault="00703F46" w:rsidP="00CD6618">
      <w:pPr>
        <w:ind w:firstLine="708"/>
        <w:jc w:val="both"/>
      </w:pPr>
      <w:r w:rsidRPr="003D2612">
        <w:t>В городе Нефтеюганске услуги по откачке и вывозу хозяйственно-бытовых сточных вод с территорий, не охваченных централизованной системой водоотведения, оказывают индивидуальные предприниматели, организации.</w:t>
      </w:r>
      <w:r w:rsidR="00243E1E">
        <w:t xml:space="preserve"> </w:t>
      </w:r>
      <w:r w:rsidR="00CD6618" w:rsidRPr="003D2612">
        <w:t xml:space="preserve">В соответствии с постановлением Правительства Российской Федерации от 10.02.1997 № 155 «Об утверждении правил предоставления услуг по вывозу жидких бытовых отходов» порядок вывоза жидких бытовых отходов (его периодичность) устанавливается в договоре, сторонами которого является физическое лицо (заказчик) и организация (индивидуальный предприниматель), которая оказывает эти услуги (исполнитель). </w:t>
      </w:r>
    </w:p>
    <w:p w:rsidR="00CD6618" w:rsidRPr="003D2612" w:rsidRDefault="00CD6618" w:rsidP="005E22F0">
      <w:pPr>
        <w:ind w:firstLine="708"/>
        <w:jc w:val="both"/>
      </w:pPr>
      <w:r w:rsidRPr="003D2612">
        <w:t>Сброс сточных вод, откачиваемых из сооружений</w:t>
      </w:r>
      <w:r w:rsidR="005E22F0">
        <w:t xml:space="preserve"> (септики)</w:t>
      </w:r>
      <w:r w:rsidRPr="003D2612">
        <w:t>, предназначенных для накопления хозяйственно-бытовых сточных вод, образующихся в результате жизнедеятельности граждан, осуществляется в соответствии с заключенными с АО «</w:t>
      </w:r>
      <w:proofErr w:type="spellStart"/>
      <w:r w:rsidRPr="003D2612">
        <w:t>Юганскводоканал</w:t>
      </w:r>
      <w:proofErr w:type="spellEnd"/>
      <w:r w:rsidRPr="003D2612">
        <w:t>» договорами в приёмный колодец КНС-8, расположенной по проезду 5П в районе СУ-62, с последующей перекачкой для очистки и обеззараживания на канализационные очистные сооружения города. По информац</w:t>
      </w:r>
      <w:proofErr w:type="gramStart"/>
      <w:r w:rsidRPr="003D2612">
        <w:t>ии АО</w:t>
      </w:r>
      <w:proofErr w:type="gramEnd"/>
      <w:r w:rsidRPr="003D2612">
        <w:t xml:space="preserve"> «</w:t>
      </w:r>
      <w:proofErr w:type="spellStart"/>
      <w:r w:rsidRPr="003D2612">
        <w:t>Юганскводоканал</w:t>
      </w:r>
      <w:proofErr w:type="spellEnd"/>
      <w:r w:rsidRPr="003D2612">
        <w:t xml:space="preserve">», в 2021 году действует 37 договоров на прием сточных вод на КНС-8 самовывозом с абонентами (организациями, индивидуальными предпринимателями). </w:t>
      </w:r>
    </w:p>
    <w:p w:rsidR="00CD6618" w:rsidRPr="003D2612" w:rsidRDefault="00CD6618" w:rsidP="00714385">
      <w:pPr>
        <w:ind w:firstLine="708"/>
        <w:jc w:val="both"/>
      </w:pPr>
      <w:r w:rsidRPr="003D2612">
        <w:t xml:space="preserve">Содержание дворовых уборных расположенных в границах земельных участков индивидуальных жилых домов, осуществляется собственниками индивидуальных жилых домов, собственными силами. Аналогично, содержание дворовых уборных расположенных в границах земельных участков балочных массивов, осуществляется гражданами, проживающими в балочных массивах. </w:t>
      </w:r>
      <w:r w:rsidR="00F7438E">
        <w:t>Вопрос по вывозу жидких отходов с балочного массива остается актуальным, так как не все балки оборудованы емкостями для приема жидких отходов</w:t>
      </w:r>
    </w:p>
    <w:p w:rsidR="00F7438E" w:rsidRDefault="00CD6618" w:rsidP="003B6C0A">
      <w:pPr>
        <w:tabs>
          <w:tab w:val="left" w:pos="708"/>
          <w:tab w:val="left" w:pos="1170"/>
        </w:tabs>
        <w:jc w:val="both"/>
        <w:rPr>
          <w:color w:val="000000" w:themeColor="text1"/>
        </w:rPr>
      </w:pPr>
      <w:r w:rsidRPr="003D2612">
        <w:rPr>
          <w:color w:val="000000" w:themeColor="text1"/>
        </w:rPr>
        <w:tab/>
      </w:r>
      <w:r w:rsidR="003B6C0A">
        <w:rPr>
          <w:color w:val="000000" w:themeColor="text1"/>
        </w:rPr>
        <w:tab/>
      </w:r>
    </w:p>
    <w:p w:rsidR="003D2612" w:rsidRPr="00EC08F9" w:rsidRDefault="00CD6618" w:rsidP="00EC08F9">
      <w:pPr>
        <w:jc w:val="both"/>
        <w:rPr>
          <w:color w:val="000000" w:themeColor="text1"/>
        </w:rPr>
      </w:pPr>
      <w:r w:rsidRPr="003D2612">
        <w:rPr>
          <w:color w:val="000000" w:themeColor="text1"/>
        </w:rPr>
        <w:t xml:space="preserve">На территории города Нефтеюганска площадка для временного вывоза и складирования снежных масс, расположена по адресу: </w:t>
      </w:r>
      <w:proofErr w:type="spellStart"/>
      <w:r w:rsidRPr="003D2612">
        <w:rPr>
          <w:color w:val="000000" w:themeColor="text1"/>
        </w:rPr>
        <w:t>г</w:t>
      </w:r>
      <w:proofErr w:type="gramStart"/>
      <w:r w:rsidRPr="003D2612">
        <w:rPr>
          <w:color w:val="000000" w:themeColor="text1"/>
        </w:rPr>
        <w:t>.Н</w:t>
      </w:r>
      <w:proofErr w:type="gramEnd"/>
      <w:r w:rsidRPr="003D2612">
        <w:rPr>
          <w:color w:val="000000" w:themeColor="text1"/>
        </w:rPr>
        <w:t>ефтеюганск</w:t>
      </w:r>
      <w:proofErr w:type="spellEnd"/>
      <w:r w:rsidRPr="003D2612">
        <w:rPr>
          <w:color w:val="000000" w:themeColor="text1"/>
        </w:rPr>
        <w:t xml:space="preserve">, Пионерная зона, проезд 5П, строение 22/12. Полигон по приему и складированию снежных масс передан на праве хозяйственного ведения </w:t>
      </w:r>
      <w:proofErr w:type="spellStart"/>
      <w:r w:rsidRPr="003D2612">
        <w:rPr>
          <w:color w:val="000000" w:themeColor="text1"/>
        </w:rPr>
        <w:t>Нефтеюганскому</w:t>
      </w:r>
      <w:proofErr w:type="spellEnd"/>
      <w:r w:rsidRPr="003D2612">
        <w:rPr>
          <w:color w:val="000000" w:themeColor="text1"/>
        </w:rPr>
        <w:t xml:space="preserve"> городскому муниципальному унитарному предприятию «Универсал</w:t>
      </w:r>
      <w:r w:rsidR="002C5788">
        <w:rPr>
          <w:color w:val="000000" w:themeColor="text1"/>
        </w:rPr>
        <w:t xml:space="preserve"> Сервис</w:t>
      </w:r>
      <w:proofErr w:type="gramStart"/>
      <w:r w:rsidR="002C5788">
        <w:rPr>
          <w:color w:val="000000" w:themeColor="text1"/>
        </w:rPr>
        <w:t>»(</w:t>
      </w:r>
      <w:proofErr w:type="gramEnd"/>
      <w:r w:rsidR="002C5788">
        <w:rPr>
          <w:color w:val="000000" w:themeColor="text1"/>
        </w:rPr>
        <w:t xml:space="preserve">распоряжение № 616    </w:t>
      </w:r>
      <w:r w:rsidRPr="003D2612">
        <w:rPr>
          <w:color w:val="000000" w:themeColor="text1"/>
        </w:rPr>
        <w:t xml:space="preserve">  от 03.06.2009).</w:t>
      </w:r>
    </w:p>
    <w:p w:rsidR="002A3B63" w:rsidRDefault="002A3B63" w:rsidP="00BB5E43">
      <w:pPr>
        <w:pStyle w:val="a3"/>
        <w:rPr>
          <w:sz w:val="24"/>
          <w:szCs w:val="24"/>
        </w:rPr>
      </w:pPr>
    </w:p>
    <w:p w:rsidR="007A6A58" w:rsidRPr="007A6A58" w:rsidRDefault="00BB5E43" w:rsidP="007A6A58">
      <w:pPr>
        <w:jc w:val="both"/>
      </w:pPr>
      <w:r w:rsidRPr="00886BFD">
        <w:rPr>
          <w:rFonts w:eastAsia="Arial Unicode MS"/>
          <w:b/>
          <w:u w:val="single"/>
        </w:rPr>
        <w:t>Количество бытовых о</w:t>
      </w:r>
      <w:r w:rsidR="00846674" w:rsidRPr="00886BFD">
        <w:rPr>
          <w:rFonts w:eastAsia="Arial Unicode MS"/>
          <w:b/>
          <w:u w:val="single"/>
        </w:rPr>
        <w:t xml:space="preserve">тходов </w:t>
      </w:r>
      <w:r w:rsidR="00EC08F9" w:rsidRPr="00886BFD">
        <w:rPr>
          <w:rFonts w:eastAsia="Arial Unicode MS"/>
          <w:b/>
          <w:u w:val="single"/>
        </w:rPr>
        <w:t>с населенных мест за 2021</w:t>
      </w:r>
      <w:r w:rsidRPr="00886BFD">
        <w:rPr>
          <w:rFonts w:eastAsia="Arial Unicode MS"/>
          <w:b/>
          <w:u w:val="single"/>
        </w:rPr>
        <w:t xml:space="preserve"> </w:t>
      </w:r>
      <w:proofErr w:type="spellStart"/>
      <w:r w:rsidRPr="00886BFD">
        <w:rPr>
          <w:rFonts w:eastAsia="Arial Unicode MS"/>
          <w:b/>
          <w:u w:val="single"/>
        </w:rPr>
        <w:t>год</w:t>
      </w:r>
      <w:proofErr w:type="gramStart"/>
      <w:r w:rsidRPr="00886BFD">
        <w:rPr>
          <w:rFonts w:eastAsia="Arial Unicode MS"/>
          <w:b/>
          <w:u w:val="single"/>
        </w:rPr>
        <w:t>:</w:t>
      </w:r>
      <w:r w:rsidR="007A6A58" w:rsidRPr="007A6A58">
        <w:t>К</w:t>
      </w:r>
      <w:proofErr w:type="gramEnd"/>
      <w:r w:rsidR="007A6A58" w:rsidRPr="007A6A58">
        <w:t>оличество</w:t>
      </w:r>
      <w:proofErr w:type="spellEnd"/>
      <w:r w:rsidR="007A6A58" w:rsidRPr="007A6A58">
        <w:t xml:space="preserve"> образуемых ТКО в год согласно Территориальной схеме, а также объем фактически транспортированных отходов за период с 01.01.2021 по 31.12.2021 фактическое количество отходов, поступивших и захороненных на полигоне ТБО составляет-</w:t>
      </w:r>
      <w:r w:rsidR="007A6A58" w:rsidRPr="00D435A6">
        <w:rPr>
          <w:u w:val="single"/>
        </w:rPr>
        <w:t>527228,0</w:t>
      </w:r>
      <w:r w:rsidR="007A6A58" w:rsidRPr="007A6A58">
        <w:t xml:space="preserve"> м³, из них от населения – 187592,0 м³, ТКО по Нефтеюганску – 339636,0 м³. </w:t>
      </w:r>
    </w:p>
    <w:p w:rsidR="00105B51" w:rsidRDefault="00846674" w:rsidP="00105B51">
      <w:pPr>
        <w:pStyle w:val="a3"/>
        <w:rPr>
          <w:rFonts w:eastAsia="Arial Unicode MS"/>
          <w:sz w:val="24"/>
          <w:szCs w:val="24"/>
        </w:rPr>
      </w:pPr>
      <w:r>
        <w:rPr>
          <w:rFonts w:eastAsia="Arial Unicode MS"/>
          <w:sz w:val="24"/>
          <w:szCs w:val="24"/>
        </w:rPr>
        <w:t>За 2020</w:t>
      </w:r>
      <w:r w:rsidR="00BB5E43">
        <w:rPr>
          <w:rFonts w:eastAsia="Arial Unicode MS"/>
          <w:sz w:val="24"/>
          <w:szCs w:val="24"/>
        </w:rPr>
        <w:t xml:space="preserve"> год в целом от города Нефтеюганска, включая все предприятия, организации и учреждения, на полигон ТБО поступило </w:t>
      </w:r>
      <w:r w:rsidR="006F10B4">
        <w:rPr>
          <w:rFonts w:eastAsia="Arial Unicode MS"/>
          <w:sz w:val="24"/>
          <w:szCs w:val="24"/>
        </w:rPr>
        <w:t xml:space="preserve"> - </w:t>
      </w:r>
      <w:r w:rsidR="00BB5E43" w:rsidRPr="00D435A6">
        <w:rPr>
          <w:rFonts w:eastAsia="Arial Unicode MS"/>
          <w:sz w:val="24"/>
          <w:szCs w:val="24"/>
          <w:u w:val="single"/>
        </w:rPr>
        <w:t>86757,78т</w:t>
      </w:r>
      <w:r w:rsidR="00BB5E43">
        <w:rPr>
          <w:rFonts w:eastAsia="Arial Unicode MS"/>
          <w:sz w:val="24"/>
          <w:szCs w:val="24"/>
        </w:rPr>
        <w:t xml:space="preserve"> отходов.</w:t>
      </w:r>
    </w:p>
    <w:p w:rsidR="00B65D0F" w:rsidRPr="00105B51" w:rsidRDefault="00BB5E43" w:rsidP="00105B51">
      <w:pPr>
        <w:pStyle w:val="a3"/>
        <w:rPr>
          <w:rFonts w:eastAsia="Arial Unicode MS"/>
          <w:sz w:val="24"/>
          <w:szCs w:val="24"/>
        </w:rPr>
      </w:pPr>
      <w:r w:rsidRPr="00105B51">
        <w:rPr>
          <w:sz w:val="24"/>
          <w:szCs w:val="24"/>
        </w:rPr>
        <w:t xml:space="preserve">На территории </w:t>
      </w:r>
      <w:proofErr w:type="spellStart"/>
      <w:r w:rsidRPr="00105B51">
        <w:rPr>
          <w:sz w:val="24"/>
          <w:szCs w:val="24"/>
        </w:rPr>
        <w:t>Нефтеюганского</w:t>
      </w:r>
      <w:proofErr w:type="spellEnd"/>
      <w:r w:rsidRPr="00105B51">
        <w:rPr>
          <w:sz w:val="24"/>
          <w:szCs w:val="24"/>
        </w:rPr>
        <w:t xml:space="preserve"> района расположен  полигон ТБО обслуживающий </w:t>
      </w:r>
      <w:proofErr w:type="spellStart"/>
      <w:r w:rsidRPr="00105B51">
        <w:rPr>
          <w:sz w:val="24"/>
          <w:szCs w:val="24"/>
        </w:rPr>
        <w:t>г</w:t>
      </w:r>
      <w:proofErr w:type="gramStart"/>
      <w:r w:rsidRPr="00105B51">
        <w:rPr>
          <w:sz w:val="24"/>
          <w:szCs w:val="24"/>
        </w:rPr>
        <w:t>.Н</w:t>
      </w:r>
      <w:proofErr w:type="gramEnd"/>
      <w:r w:rsidRPr="00105B51">
        <w:rPr>
          <w:sz w:val="24"/>
          <w:szCs w:val="24"/>
        </w:rPr>
        <w:t>ефтеюганск</w:t>
      </w:r>
      <w:proofErr w:type="spellEnd"/>
      <w:r w:rsidRPr="00105B51">
        <w:rPr>
          <w:sz w:val="24"/>
          <w:szCs w:val="24"/>
        </w:rPr>
        <w:t xml:space="preserve"> и </w:t>
      </w:r>
      <w:proofErr w:type="spellStart"/>
      <w:r w:rsidRPr="00105B51">
        <w:rPr>
          <w:sz w:val="24"/>
          <w:szCs w:val="24"/>
        </w:rPr>
        <w:t>г.Пыть-Ях</w:t>
      </w:r>
      <w:proofErr w:type="spellEnd"/>
      <w:r w:rsidRPr="00105B51">
        <w:rPr>
          <w:sz w:val="24"/>
          <w:szCs w:val="24"/>
        </w:rPr>
        <w:t xml:space="preserve"> общей площадью 11.25 га, расположенный на </w:t>
      </w:r>
      <w:smartTag w:uri="urn:schemas-microsoft-com:office:smarttags" w:element="metricconverter">
        <w:smartTagPr>
          <w:attr w:name="ProductID" w:val="24 км"/>
        </w:smartTagPr>
        <w:r w:rsidRPr="00105B51">
          <w:rPr>
            <w:sz w:val="24"/>
            <w:szCs w:val="24"/>
          </w:rPr>
          <w:t>24 км</w:t>
        </w:r>
      </w:smartTag>
      <w:r w:rsidRPr="00105B51">
        <w:rPr>
          <w:sz w:val="24"/>
          <w:szCs w:val="24"/>
        </w:rPr>
        <w:t xml:space="preserve"> автодороги Нефтеюганск-</w:t>
      </w:r>
      <w:proofErr w:type="spellStart"/>
      <w:r w:rsidRPr="00105B51">
        <w:rPr>
          <w:sz w:val="24"/>
          <w:szCs w:val="24"/>
        </w:rPr>
        <w:t>Пыть</w:t>
      </w:r>
      <w:proofErr w:type="spellEnd"/>
      <w:r w:rsidRPr="00105B51">
        <w:rPr>
          <w:sz w:val="24"/>
          <w:szCs w:val="24"/>
        </w:rPr>
        <w:t>-</w:t>
      </w:r>
      <w:proofErr w:type="spellStart"/>
      <w:r w:rsidRPr="00105B51">
        <w:rPr>
          <w:sz w:val="24"/>
          <w:szCs w:val="24"/>
        </w:rPr>
        <w:t>Ях</w:t>
      </w:r>
      <w:proofErr w:type="spellEnd"/>
      <w:r w:rsidRPr="00105B51">
        <w:rPr>
          <w:sz w:val="24"/>
          <w:szCs w:val="24"/>
        </w:rPr>
        <w:t>, принадлежащий ООО «</w:t>
      </w:r>
      <w:proofErr w:type="spellStart"/>
      <w:r w:rsidRPr="00105B51">
        <w:rPr>
          <w:sz w:val="24"/>
          <w:szCs w:val="24"/>
        </w:rPr>
        <w:t>Спецкоммунсервис</w:t>
      </w:r>
      <w:proofErr w:type="spellEnd"/>
      <w:r w:rsidRPr="00105B51">
        <w:rPr>
          <w:sz w:val="24"/>
          <w:szCs w:val="24"/>
        </w:rPr>
        <w:t xml:space="preserve">». </w:t>
      </w:r>
    </w:p>
    <w:p w:rsidR="00B21B55" w:rsidRDefault="002A2D7E" w:rsidP="00425DAA">
      <w:pPr>
        <w:jc w:val="both"/>
      </w:pPr>
      <w:r w:rsidRPr="00105B51">
        <w:t xml:space="preserve">Эксплуатация действующего полигона ТБО в </w:t>
      </w:r>
      <w:proofErr w:type="spellStart"/>
      <w:r w:rsidRPr="00105B51">
        <w:t>г.Нефтеюганске</w:t>
      </w:r>
      <w:proofErr w:type="spellEnd"/>
      <w:r w:rsidRPr="00105B51">
        <w:t xml:space="preserve"> осуществляется ООО «</w:t>
      </w:r>
      <w:proofErr w:type="spellStart"/>
      <w:r w:rsidRPr="00105B51">
        <w:t>Спецкоммунсервис</w:t>
      </w:r>
      <w:proofErr w:type="spellEnd"/>
      <w:r w:rsidRPr="00105B51">
        <w:t>». Взаимодействия ООО «</w:t>
      </w:r>
      <w:proofErr w:type="spellStart"/>
      <w:r w:rsidRPr="00105B51">
        <w:t>Спецкоммунсервис</w:t>
      </w:r>
      <w:proofErr w:type="spellEnd"/>
      <w:r w:rsidRPr="00105B51">
        <w:t xml:space="preserve">» с региональным оператором АО «Югра-Экология» регулируются договорными отношениями на оказание услуг по транспортированию и захоронению твердых коммунальных отходов на полигоне твердых бытовых отходов. Вид деятельности в соответствии с лицензией: Сбор, транспортирование, размещение отходов I-IV классов опасности. </w:t>
      </w:r>
      <w:r w:rsidR="00406E3B" w:rsidRPr="00105B51">
        <w:rPr>
          <w:color w:val="000000"/>
        </w:rPr>
        <w:t xml:space="preserve">Полигон ТБО   </w:t>
      </w:r>
      <w:r w:rsidR="00406E3B">
        <w:rPr>
          <w:color w:val="000000"/>
        </w:rPr>
        <w:t xml:space="preserve">размещённый к </w:t>
      </w:r>
      <w:r w:rsidR="00406E3B" w:rsidRPr="00105B51">
        <w:t>Юго-Восток</w:t>
      </w:r>
      <w:r w:rsidR="00406E3B">
        <w:t>у</w:t>
      </w:r>
      <w:r w:rsidR="00406E3B" w:rsidRPr="00105B51">
        <w:t xml:space="preserve"> от г. Нефтеюганска, 24 км. автодороги Нефтеюганск-</w:t>
      </w:r>
      <w:proofErr w:type="spellStart"/>
      <w:r w:rsidR="00406E3B" w:rsidRPr="00105B51">
        <w:t>Пыть</w:t>
      </w:r>
      <w:proofErr w:type="spellEnd"/>
      <w:r w:rsidR="00406E3B" w:rsidRPr="00105B51">
        <w:t>-</w:t>
      </w:r>
      <w:proofErr w:type="spellStart"/>
      <w:r w:rsidR="00406E3B" w:rsidRPr="00105B51">
        <w:t>Ях</w:t>
      </w:r>
      <w:proofErr w:type="spellEnd"/>
      <w:r w:rsidR="00406E3B" w:rsidRPr="00105B51">
        <w:t xml:space="preserve">, 350 метров от дороги  </w:t>
      </w:r>
      <w:r w:rsidR="00406E3B" w:rsidRPr="00105B51">
        <w:rPr>
          <w:color w:val="000000"/>
        </w:rPr>
        <w:t>2</w:t>
      </w:r>
      <w:r w:rsidR="00406E3B" w:rsidRPr="00105B51">
        <w:t>4 км. автодороги Нефтеюганск-</w:t>
      </w:r>
      <w:proofErr w:type="spellStart"/>
      <w:r w:rsidR="00406E3B" w:rsidRPr="00105B51">
        <w:t>Пыть</w:t>
      </w:r>
      <w:proofErr w:type="spellEnd"/>
      <w:r w:rsidR="00406E3B" w:rsidRPr="00105B51">
        <w:t>-</w:t>
      </w:r>
      <w:proofErr w:type="spellStart"/>
      <w:r w:rsidR="00406E3B" w:rsidRPr="00105B51">
        <w:t>Ях</w:t>
      </w:r>
      <w:proofErr w:type="spellEnd"/>
      <w:r w:rsidR="00406E3B">
        <w:t>-</w:t>
      </w:r>
      <w:r w:rsidR="00406E3B" w:rsidRPr="00105B51">
        <w:t xml:space="preserve">Тюмень,  </w:t>
      </w:r>
      <w:r w:rsidR="00406E3B">
        <w:lastRenderedPageBreak/>
        <w:t>(</w:t>
      </w:r>
      <w:r w:rsidR="00406E3B" w:rsidRPr="00105B51">
        <w:t xml:space="preserve">ближайший населённый пункт    поселок </w:t>
      </w:r>
      <w:proofErr w:type="spellStart"/>
      <w:r w:rsidR="00406E3B" w:rsidRPr="00105B51">
        <w:t>Усть-ЮганНефтеюганско</w:t>
      </w:r>
      <w:r w:rsidR="00B21B55">
        <w:t>го</w:t>
      </w:r>
      <w:proofErr w:type="spellEnd"/>
      <w:r w:rsidR="00B21B55">
        <w:t xml:space="preserve">  рай</w:t>
      </w:r>
      <w:r w:rsidR="00CD1273">
        <w:t>о</w:t>
      </w:r>
      <w:r w:rsidR="00406E3B" w:rsidRPr="00105B51">
        <w:t>на)</w:t>
      </w:r>
      <w:r w:rsidR="00F80057" w:rsidRPr="00C862CA">
        <w:t xml:space="preserve">общей площадью 11.25 га, </w:t>
      </w:r>
      <w:r w:rsidR="004E621B">
        <w:t xml:space="preserve">обслуживающей организацией </w:t>
      </w:r>
      <w:r w:rsidR="004E621B" w:rsidRPr="00105B51">
        <w:t>ООО «</w:t>
      </w:r>
      <w:proofErr w:type="spellStart"/>
      <w:r w:rsidR="004E621B" w:rsidRPr="00105B51">
        <w:t>Спецкоммунсервис</w:t>
      </w:r>
      <w:proofErr w:type="spellEnd"/>
      <w:r w:rsidR="004E621B" w:rsidRPr="00105B51">
        <w:t xml:space="preserve">» </w:t>
      </w:r>
      <w:r w:rsidR="00462562" w:rsidRPr="00105B51">
        <w:t xml:space="preserve">принимает отходы  планируемые к сбору, транспортировке, использованию, обезвреживанию, размещению  образующиеся от деятельности сторонних организаций на основании договоров  и  в количестве способном обезвредить на имеющемся </w:t>
      </w:r>
      <w:proofErr w:type="spellStart"/>
      <w:r w:rsidR="00462562" w:rsidRPr="00105B51">
        <w:t>оборудовании.</w:t>
      </w:r>
      <w:r w:rsidR="00406E3B" w:rsidRPr="00105B51">
        <w:t>Полигон</w:t>
      </w:r>
      <w:proofErr w:type="spellEnd"/>
      <w:r w:rsidR="00406E3B" w:rsidRPr="00105B51">
        <w:t xml:space="preserve"> по обезвреживанию ТБО зарегистрирован в установленном порядке в государственном реестре объектов размещения отходов № 86-00563-З-00870-311215</w:t>
      </w:r>
    </w:p>
    <w:p w:rsidR="00B21B55" w:rsidRDefault="00B21B55" w:rsidP="00425DAA">
      <w:pPr>
        <w:jc w:val="both"/>
      </w:pPr>
    </w:p>
    <w:p w:rsidR="00B21B55" w:rsidRDefault="00B21B55" w:rsidP="00B21B55">
      <w:pPr>
        <w:pStyle w:val="a9"/>
        <w:ind w:firstLine="426"/>
        <w:jc w:val="both"/>
        <w:rPr>
          <w:rFonts w:ascii="Times New Roman" w:hAnsi="Times New Roman"/>
          <w:sz w:val="24"/>
          <w:szCs w:val="24"/>
        </w:rPr>
      </w:pPr>
      <w:r w:rsidRPr="00B26D96">
        <w:rPr>
          <w:rFonts w:ascii="Times New Roman" w:hAnsi="Times New Roman"/>
          <w:sz w:val="24"/>
          <w:szCs w:val="24"/>
        </w:rPr>
        <w:t>ООО «</w:t>
      </w:r>
      <w:proofErr w:type="spellStart"/>
      <w:r w:rsidRPr="00B26D96">
        <w:rPr>
          <w:rFonts w:ascii="Times New Roman" w:hAnsi="Times New Roman"/>
          <w:sz w:val="24"/>
          <w:szCs w:val="24"/>
        </w:rPr>
        <w:t>Спецкоммунсервис</w:t>
      </w:r>
      <w:proofErr w:type="spellEnd"/>
      <w:r w:rsidRPr="00B26D96">
        <w:rPr>
          <w:rFonts w:ascii="Times New Roman" w:hAnsi="Times New Roman"/>
          <w:sz w:val="24"/>
          <w:szCs w:val="24"/>
        </w:rPr>
        <w:t>»</w:t>
      </w:r>
      <w:r>
        <w:rPr>
          <w:rFonts w:ascii="Times New Roman" w:hAnsi="Times New Roman"/>
          <w:sz w:val="24"/>
          <w:szCs w:val="24"/>
        </w:rPr>
        <w:t xml:space="preserve"> имеет Лицензию на осуществления деятельности по сбору, транспортированию, обработке, утилизации, обезвреживанию, размещению отходов </w:t>
      </w:r>
      <w:r>
        <w:rPr>
          <w:rFonts w:ascii="Times New Roman" w:hAnsi="Times New Roman"/>
          <w:sz w:val="24"/>
          <w:szCs w:val="24"/>
          <w:lang w:val="en-US"/>
        </w:rPr>
        <w:t>I</w:t>
      </w:r>
      <w:r>
        <w:rPr>
          <w:rFonts w:ascii="Times New Roman" w:hAnsi="Times New Roman"/>
          <w:sz w:val="24"/>
          <w:szCs w:val="24"/>
        </w:rPr>
        <w:t xml:space="preserve">– </w:t>
      </w:r>
      <w:r>
        <w:rPr>
          <w:rFonts w:ascii="Times New Roman" w:hAnsi="Times New Roman"/>
          <w:sz w:val="24"/>
          <w:szCs w:val="24"/>
          <w:lang w:val="en-US"/>
        </w:rPr>
        <w:t>IV</w:t>
      </w:r>
      <w:r>
        <w:rPr>
          <w:rFonts w:ascii="Times New Roman" w:hAnsi="Times New Roman"/>
          <w:sz w:val="24"/>
          <w:szCs w:val="24"/>
        </w:rPr>
        <w:t xml:space="preserve"> классов опасности № (72) – 8869 – СТР от 10.02.2020г., выданную Федеральной службой по надзору в сфере природопользования. Разработан и утвержден проект нормативов предельно-допустимых выбросов, Приказ об утверждении №1049 от 20.06.17г. </w:t>
      </w:r>
      <w:proofErr w:type="spellStart"/>
      <w:r>
        <w:rPr>
          <w:rFonts w:ascii="Times New Roman" w:hAnsi="Times New Roman"/>
          <w:sz w:val="24"/>
          <w:szCs w:val="24"/>
        </w:rPr>
        <w:t>Росприроднадзора</w:t>
      </w:r>
      <w:proofErr w:type="spellEnd"/>
      <w:r>
        <w:rPr>
          <w:rFonts w:ascii="Times New Roman" w:hAnsi="Times New Roman"/>
          <w:sz w:val="24"/>
          <w:szCs w:val="24"/>
        </w:rPr>
        <w:t xml:space="preserve"> по ХМАО-Югре. </w:t>
      </w:r>
    </w:p>
    <w:p w:rsidR="00B21B55" w:rsidRPr="00D9664B" w:rsidRDefault="00B21B55" w:rsidP="00B21B55">
      <w:pPr>
        <w:pStyle w:val="a9"/>
        <w:ind w:firstLine="426"/>
        <w:jc w:val="both"/>
        <w:rPr>
          <w:rFonts w:ascii="Times New Roman" w:hAnsi="Times New Roman"/>
          <w:sz w:val="24"/>
          <w:szCs w:val="24"/>
        </w:rPr>
      </w:pPr>
      <w:r w:rsidRPr="00611C71">
        <w:rPr>
          <w:rFonts w:ascii="Times New Roman" w:hAnsi="Times New Roman"/>
          <w:sz w:val="24"/>
          <w:szCs w:val="24"/>
        </w:rPr>
        <w:t>Утвержден проект СЗЗ и заключения ООО «</w:t>
      </w:r>
      <w:proofErr w:type="spellStart"/>
      <w:r w:rsidRPr="00611C71">
        <w:rPr>
          <w:rFonts w:ascii="Times New Roman" w:hAnsi="Times New Roman"/>
          <w:sz w:val="24"/>
          <w:szCs w:val="24"/>
        </w:rPr>
        <w:t>Спецкоммунсервис</w:t>
      </w:r>
      <w:proofErr w:type="spellEnd"/>
      <w:r w:rsidRPr="00611C71">
        <w:rPr>
          <w:rFonts w:ascii="Times New Roman" w:hAnsi="Times New Roman"/>
          <w:sz w:val="24"/>
          <w:szCs w:val="24"/>
        </w:rPr>
        <w:t xml:space="preserve">» имеется  согласно п. 72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w:t>
      </w:r>
      <w:r w:rsidRPr="00B21B55">
        <w:rPr>
          <w:rFonts w:ascii="Times New Roman" w:hAnsi="Times New Roman"/>
          <w:sz w:val="24"/>
          <w:szCs w:val="24"/>
          <w:u w:val="single"/>
        </w:rPr>
        <w:t xml:space="preserve">Также </w:t>
      </w:r>
      <w:proofErr w:type="spellStart"/>
      <w:r w:rsidRPr="00B21B55">
        <w:rPr>
          <w:rFonts w:ascii="Times New Roman" w:hAnsi="Times New Roman"/>
          <w:sz w:val="24"/>
          <w:szCs w:val="24"/>
          <w:u w:val="single"/>
        </w:rPr>
        <w:t>в</w:t>
      </w:r>
      <w:r w:rsidRPr="00D9664B">
        <w:rPr>
          <w:rFonts w:ascii="Times New Roman" w:hAnsi="Times New Roman"/>
          <w:color w:val="000000"/>
          <w:sz w:val="24"/>
          <w:szCs w:val="24"/>
          <w:u w:val="single"/>
        </w:rPr>
        <w:t>наличии</w:t>
      </w:r>
      <w:proofErr w:type="spellEnd"/>
      <w:r w:rsidRPr="00D9664B">
        <w:rPr>
          <w:rFonts w:ascii="Times New Roman" w:hAnsi="Times New Roman"/>
          <w:color w:val="000000"/>
          <w:sz w:val="24"/>
          <w:szCs w:val="24"/>
          <w:u w:val="single"/>
        </w:rPr>
        <w:t xml:space="preserve"> следующие разрешительные документы:</w:t>
      </w:r>
    </w:p>
    <w:p w:rsidR="00B21B55" w:rsidRDefault="00B21B55" w:rsidP="00B21B55">
      <w:pPr>
        <w:spacing w:after="120"/>
        <w:ind w:firstLine="540"/>
        <w:jc w:val="both"/>
      </w:pPr>
      <w:r>
        <w:rPr>
          <w:spacing w:val="-4"/>
        </w:rPr>
        <w:t xml:space="preserve">- </w:t>
      </w:r>
      <w:r w:rsidRPr="0079535E">
        <w:t>Санитарно-эпидемиологическое  заключен</w:t>
      </w:r>
      <w:r>
        <w:t>ия №86.ХЦ.23.000Т.000111.02.17  от 14.02.17</w:t>
      </w:r>
      <w:r w:rsidRPr="0079535E">
        <w:t xml:space="preserve"> г. проект нормативов предельно-допустимых выбросов загрязняющих веществ в атмосферу </w:t>
      </w:r>
      <w:r w:rsidRPr="00245821">
        <w:rPr>
          <w:u w:val="single"/>
        </w:rPr>
        <w:t>ООО «</w:t>
      </w:r>
      <w:proofErr w:type="spellStart"/>
      <w:r w:rsidRPr="00245821">
        <w:rPr>
          <w:u w:val="single"/>
        </w:rPr>
        <w:t>Спецкоммунсервис</w:t>
      </w:r>
      <w:proofErr w:type="spellEnd"/>
      <w:r w:rsidRPr="00245821">
        <w:rPr>
          <w:u w:val="single"/>
        </w:rPr>
        <w:t xml:space="preserve">»  </w:t>
      </w:r>
      <w:r>
        <w:rPr>
          <w:u w:val="single"/>
        </w:rPr>
        <w:t xml:space="preserve">площадки №1: </w:t>
      </w:r>
      <w:r>
        <w:rPr>
          <w:spacing w:val="-4"/>
        </w:rPr>
        <w:t>Производственная база</w:t>
      </w:r>
      <w:r w:rsidRPr="00F40311">
        <w:t>628</w:t>
      </w:r>
      <w:r>
        <w:t>305</w:t>
      </w:r>
      <w:r w:rsidRPr="00F40311">
        <w:t xml:space="preserve">, Ханты-Мансийский автономный округ </w:t>
      </w:r>
      <w:r>
        <w:t xml:space="preserve">– </w:t>
      </w:r>
      <w:r w:rsidRPr="00F40311">
        <w:t>Югра</w:t>
      </w:r>
      <w:r>
        <w:t xml:space="preserve">, </w:t>
      </w:r>
      <w:r w:rsidRPr="00F40311">
        <w:t xml:space="preserve">г. </w:t>
      </w:r>
      <w:proofErr w:type="spellStart"/>
      <w:r>
        <w:t>Нефтеюганск,промышленная</w:t>
      </w:r>
      <w:proofErr w:type="spellEnd"/>
      <w:r>
        <w:t xml:space="preserve"> зона Пионерная, ул. Жилая стр.18, </w:t>
      </w:r>
      <w:r w:rsidRPr="0079535E">
        <w:t xml:space="preserve">выдано ТО  УРПН по ХМАО-Югре в </w:t>
      </w:r>
      <w:proofErr w:type="spellStart"/>
      <w:r w:rsidRPr="0079535E">
        <w:t>г.Нефтеюганске</w:t>
      </w:r>
      <w:proofErr w:type="spellEnd"/>
      <w:r w:rsidRPr="0079535E">
        <w:t xml:space="preserve">, Нефтеюганском районе и </w:t>
      </w:r>
      <w:proofErr w:type="spellStart"/>
      <w:r w:rsidRPr="0079535E">
        <w:t>г.Пыть-Ях</w:t>
      </w:r>
      <w:proofErr w:type="spellEnd"/>
      <w:r w:rsidRPr="0079535E">
        <w:t>. - Санитарно-эпидемиологиче</w:t>
      </w:r>
      <w:r>
        <w:t>ское  заключения №86.НП.01.000.М.000070.07.19. от 16.07.19</w:t>
      </w:r>
      <w:r w:rsidRPr="0079535E">
        <w:t>г.</w:t>
      </w:r>
      <w:r>
        <w:t xml:space="preserve"> на осуществление деятельности по сбору, транспортированию, обработки, утилизации, обезвреживанию, размещению отходов 1-4 классов опасности</w:t>
      </w:r>
      <w:r w:rsidRPr="0079535E">
        <w:rPr>
          <w:spacing w:val="-4"/>
        </w:rPr>
        <w:t xml:space="preserve">», </w:t>
      </w:r>
      <w:r w:rsidRPr="0079535E">
        <w:t xml:space="preserve">выдано ТО  УРПН по ХМАО-Югре в </w:t>
      </w:r>
      <w:proofErr w:type="spellStart"/>
      <w:r w:rsidRPr="0079535E">
        <w:t>г.Нефтеюганске</w:t>
      </w:r>
      <w:proofErr w:type="spellEnd"/>
      <w:r w:rsidRPr="0079535E">
        <w:t xml:space="preserve">, Нефтеюганском районе и </w:t>
      </w:r>
      <w:proofErr w:type="spellStart"/>
      <w:r w:rsidRPr="0079535E">
        <w:t>г.Пыть-Ях</w:t>
      </w:r>
      <w:proofErr w:type="spellEnd"/>
      <w:r w:rsidRPr="0079535E">
        <w:t xml:space="preserve">. </w:t>
      </w:r>
      <w:r w:rsidRPr="0079535E">
        <w:rPr>
          <w:spacing w:val="-4"/>
        </w:rPr>
        <w:t xml:space="preserve">- </w:t>
      </w:r>
      <w:r w:rsidRPr="002C26DC">
        <w:rPr>
          <w:color w:val="000000"/>
        </w:rPr>
        <w:t>Лицензия (72)-8869-СТР   от 10.02.2020 года «Деятельность по сбору, транспортированию, обработке, утилизации, обезвреживанию, размещению отходов 1-4 класса опасности. (ПЕРЕОФОРМЛЕНИЕ ЛИЦЕНЗИИ №86№00245  от 22.12.2015года)</w:t>
      </w:r>
      <w:r>
        <w:t xml:space="preserve">.        </w:t>
      </w:r>
    </w:p>
    <w:p w:rsidR="004E621B" w:rsidRDefault="00462562" w:rsidP="004E621B">
      <w:pPr>
        <w:spacing w:after="120"/>
        <w:ind w:firstLine="540"/>
        <w:jc w:val="both"/>
      </w:pPr>
      <w:r w:rsidRPr="00105B51">
        <w:t>Состояние полигона для размещения твердых бытовых отходов расположенного на 24 км автомобильной трассы Нефтеюганск-Тюмень в последние годы оставляет желать лучшего. Карты полигона заполнены на 100% и количество ТБО  приближено  к критическому.    По сроку эксплуатации полигон должен проходить процесс рекультивации, т.е. ликвидации.</w:t>
      </w:r>
      <w:r w:rsidR="00FF271D">
        <w:t xml:space="preserve"> </w:t>
      </w:r>
      <w:r w:rsidRPr="00105B51">
        <w:t>Полигон запущен в 1998 году. Рассчитан  на 15-20 лет эксплуатации, проектная мощность  полигона составляет  120000 м куб в год фактическое  поступление  в период с 1998 год по июль 2022 год  составляе</w:t>
      </w:r>
      <w:r w:rsidR="004E621B">
        <w:t xml:space="preserve">т 5 725 843 м3 (931 408,75 </w:t>
      </w:r>
      <w:proofErr w:type="spellStart"/>
      <w:r w:rsidR="004E621B">
        <w:t>тн</w:t>
      </w:r>
      <w:proofErr w:type="spellEnd"/>
      <w:r w:rsidR="004E621B">
        <w:t xml:space="preserve">).  </w:t>
      </w:r>
      <w:r w:rsidRPr="00105B51">
        <w:t xml:space="preserve">Соответственно при проектной мощности 3 500 000 м3 (691 400т),  фактически полигон переполнен (5 725 843 м3 (931 408,75 </w:t>
      </w:r>
      <w:proofErr w:type="spellStart"/>
      <w:r w:rsidRPr="00105B51">
        <w:t>тн</w:t>
      </w:r>
      <w:proofErr w:type="spellEnd"/>
      <w:r w:rsidRPr="00105B51">
        <w:t>)), заполнение составляет  170 %  в среднем. Достигнута проектная высота отсыпки – 25 м,  в  соответствии  требований  СанПиН 2.1.3684-2</w:t>
      </w:r>
      <w:r w:rsidRPr="00C862CA">
        <w:t xml:space="preserve">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требуется закрытие полигона. </w:t>
      </w:r>
      <w:r w:rsidR="004E621B" w:rsidRPr="00C862CA">
        <w:t>Технология эксплуатации полигона ООО «</w:t>
      </w:r>
      <w:proofErr w:type="spellStart"/>
      <w:r w:rsidR="004E621B" w:rsidRPr="00C862CA">
        <w:t>Спецкоммунсервис</w:t>
      </w:r>
      <w:proofErr w:type="spellEnd"/>
      <w:r w:rsidR="004E621B" w:rsidRPr="00C862CA">
        <w:t xml:space="preserve">» и инструкция по приему отходов на полигон согласована с отделом </w:t>
      </w:r>
      <w:proofErr w:type="spellStart"/>
      <w:r w:rsidR="004E621B" w:rsidRPr="00C862CA">
        <w:t>Роспотребнадзора</w:t>
      </w:r>
      <w:proofErr w:type="spellEnd"/>
      <w:r w:rsidR="004E621B" w:rsidRPr="00C862CA">
        <w:t xml:space="preserve"> в г. </w:t>
      </w:r>
      <w:r w:rsidR="004E621B" w:rsidRPr="00C862CA">
        <w:lastRenderedPageBreak/>
        <w:t xml:space="preserve">Нефтеюганске, Нефтеюганском районе и г. </w:t>
      </w:r>
      <w:proofErr w:type="spellStart"/>
      <w:r w:rsidR="004E621B" w:rsidRPr="00C862CA">
        <w:t>Пыть-Яхе</w:t>
      </w:r>
      <w:proofErr w:type="spellEnd"/>
      <w:r w:rsidR="004E621B" w:rsidRPr="00C862CA">
        <w:t>. Биотермические ямы построены в соответствии с проектом. По состоянию на 2009 г.  две биотермические ямы заполнены (законсервированы), третья яма заполнена (законсервирована) в июле 2010 г. На все биотермические ямы имеются ветеринарно-санитарные карточки. В 2010 году для утилизации биологических отходов ООО «</w:t>
      </w:r>
      <w:proofErr w:type="spellStart"/>
      <w:r w:rsidR="004E621B" w:rsidRPr="00C862CA">
        <w:t>Спецкоммунсервис</w:t>
      </w:r>
      <w:proofErr w:type="spellEnd"/>
      <w:r w:rsidR="004E621B" w:rsidRPr="00C862CA">
        <w:t>» приобретена установка КД-300 «Крематор»</w:t>
      </w:r>
      <w:r w:rsidR="004E621B">
        <w:t>.</w:t>
      </w:r>
      <w:r w:rsidR="004E621B" w:rsidRPr="00C862CA">
        <w:t xml:space="preserve"> В настоящее время утилизация биологических отходов не производится. Обезвреживание биологических отходов проводится путем сжигания при температуре 750 С</w:t>
      </w:r>
      <w:r w:rsidR="004E621B" w:rsidRPr="00C862CA">
        <w:rPr>
          <w:vertAlign w:val="superscript"/>
        </w:rPr>
        <w:t>0</w:t>
      </w:r>
      <w:r w:rsidR="004E621B" w:rsidRPr="00C862CA">
        <w:t>. Санитарно-эпидемиологическое заключение на установку КД-300 «Крематор» № 60.01.04.485.П.000302.09.07 от 13.09.07 г. Полигон состоит из двух взаимосвязанных территориальных частей: территория, занятая под складирование ТБО и территория под размещение хозяйственно-бытовых объектов. Участок складирования  разбит на 2 очереди  эксплуатации с учетом обесп</w:t>
      </w:r>
      <w:r w:rsidR="004E621B">
        <w:t>ечения приема отходов в  течение</w:t>
      </w:r>
      <w:r w:rsidR="004E621B" w:rsidRPr="00C862CA">
        <w:t xml:space="preserve"> 15 лет, на момент проверки 1 очередь заполнена, 2 очередь  заполнена на 100 процентов. Для контроля грунтовых вод предусмотрены контрольные смотровые колодцы (4) и контрольные скважины (4).</w:t>
      </w:r>
    </w:p>
    <w:p w:rsidR="00CD1273" w:rsidRPr="00CD1273" w:rsidRDefault="004E621B" w:rsidP="00CD1273">
      <w:pPr>
        <w:ind w:firstLine="540"/>
        <w:jc w:val="both"/>
      </w:pPr>
      <w:r w:rsidRPr="00C862CA">
        <w:t xml:space="preserve">  Лабораторный контроль почвы, грунтовых вод, атмосферного воздуха полигона ТБО проводится согласно утвержденной программы производственного контроля по договору с ФФГУЗ «</w:t>
      </w:r>
      <w:proofErr w:type="spellStart"/>
      <w:r w:rsidRPr="00C862CA">
        <w:t>ЦГиЭ</w:t>
      </w:r>
      <w:proofErr w:type="spellEnd"/>
      <w:r w:rsidRPr="00C862CA">
        <w:t xml:space="preserve">» в г. Нефтеюганске  Согласно протоколов лабораторных исследований превышений ПДК атмосферного воздуха не обнаружено. По результатам химического анализа воды содержание исследуемых ингредиентов находится на уровне фоновых значений. По результатам дозиметрического контроля отходы признаются радиационно </w:t>
      </w:r>
      <w:proofErr w:type="spellStart"/>
      <w:r w:rsidRPr="00C862CA">
        <w:t>чистыми.</w:t>
      </w:r>
      <w:r w:rsidR="00CD1273">
        <w:t>Физико</w:t>
      </w:r>
      <w:proofErr w:type="spellEnd"/>
      <w:r w:rsidR="00CD1273">
        <w:t xml:space="preserve">-химические исследования грунтовой воды проводятся 12 раз в год, микробиологические исследования 2 раза в год, </w:t>
      </w:r>
      <w:proofErr w:type="spellStart"/>
      <w:r w:rsidR="00CD1273">
        <w:t>паразитологические</w:t>
      </w:r>
      <w:proofErr w:type="spellEnd"/>
      <w:r w:rsidR="00CD1273">
        <w:t xml:space="preserve"> исследования воды из колодцев и скважин 2 раза в год, физико-химические исследования почвы 2 раза в год, микробиологические исследования почвы 2 раза в год, исследования почвы на </w:t>
      </w:r>
      <w:proofErr w:type="spellStart"/>
      <w:r w:rsidR="00CD1273">
        <w:t>паразитологические</w:t>
      </w:r>
      <w:proofErr w:type="spellEnd"/>
      <w:r w:rsidR="00CD1273">
        <w:t xml:space="preserve"> показатели 2 раза в год, исследования атмосферного воздуха 4 раза в год, радиологические измерения 4 раза в год. </w:t>
      </w:r>
      <w:r w:rsidR="00CD1273">
        <w:rPr>
          <w:color w:val="000000"/>
        </w:rPr>
        <w:t xml:space="preserve">   В 2021 году исследовано 4 пробы грунтовых вод со скважин и колодцев полигона по </w:t>
      </w:r>
      <w:proofErr w:type="spellStart"/>
      <w:r w:rsidR="00CD1273">
        <w:rPr>
          <w:color w:val="000000"/>
        </w:rPr>
        <w:t>паразитологическим</w:t>
      </w:r>
      <w:proofErr w:type="spellEnd"/>
      <w:r w:rsidR="00CD1273">
        <w:rPr>
          <w:color w:val="000000"/>
        </w:rPr>
        <w:t xml:space="preserve"> показателям, качество воды скважин полигона ТБО по </w:t>
      </w:r>
      <w:proofErr w:type="spellStart"/>
      <w:r w:rsidR="00CD1273">
        <w:rPr>
          <w:color w:val="000000"/>
        </w:rPr>
        <w:t>паразитологическим</w:t>
      </w:r>
      <w:proofErr w:type="spellEnd"/>
      <w:r w:rsidR="00CD1273">
        <w:rPr>
          <w:color w:val="000000"/>
        </w:rPr>
        <w:t xml:space="preserve"> показателям соответствует требованиям санитарных норм, 2 пробы по микробиологическим показателям, все пробы соответствует требованиям санитарных норм. Проведено  исследования  пробы сточной воды со скважин полигона по санитарно-химическим показателям, из них не соответствующих гигиеническим требованиям не выявлено.  Положительной  динамики не обнаружено. Проведены исследования атмосферного воздуха на полигоне ТБО, все пробы отобранного воздуха соответствуют требованиям нормативных документов.</w:t>
      </w:r>
    </w:p>
    <w:p w:rsidR="00CD1273" w:rsidRDefault="00CD1273" w:rsidP="00CD1273">
      <w:pPr>
        <w:ind w:firstLine="540"/>
        <w:jc w:val="both"/>
      </w:pPr>
      <w:r>
        <w:t>Мероприятия по дератизации и дезинсекции проводятся на полигоне ТБО по договору с ООО «Наш дом» (Договор №10/2019 от 18.04.2019г. Площадь обрабатываемых помещений 120м куб.</w:t>
      </w:r>
    </w:p>
    <w:p w:rsidR="00425DAA" w:rsidRPr="00425DAA" w:rsidRDefault="00462562" w:rsidP="00425DAA">
      <w:pPr>
        <w:pStyle w:val="ConsPlusTitle"/>
        <w:widowControl/>
        <w:jc w:val="both"/>
        <w:rPr>
          <w:rFonts w:ascii="Times New Roman" w:hAnsi="Times New Roman" w:cs="Times New Roman"/>
          <w:b w:val="0"/>
          <w:sz w:val="24"/>
          <w:szCs w:val="24"/>
          <w:shd w:val="clear" w:color="auto" w:fill="FFFFFF"/>
        </w:rPr>
      </w:pPr>
      <w:r w:rsidRPr="00C862CA">
        <w:rPr>
          <w:rFonts w:ascii="Times New Roman" w:hAnsi="Times New Roman"/>
          <w:b w:val="0"/>
          <w:sz w:val="24"/>
          <w:szCs w:val="24"/>
        </w:rPr>
        <w:t xml:space="preserve"> Полигон оснащен  контрольно-пропускным пунктом. Пропуск автомобилей на разгрузку  производится по специальным талонам, путевым листам.  На КПП ведется журнал учета завоза отходов, с указанием  гос. номера,  марки автомобиля, предприятия, количества и вида отходов. Установлен весовой контроль (автоматический).  Собственный транспорт также отмечается в журнале, в путевых листах ставится штамп после каждой ездки. Учет принимаемых отходов ведется в неуплотненном состоянии в кубических метрах.  Обработка путевых листов и журнала ведется в службе эксплуатации и отделе производства и </w:t>
      </w:r>
      <w:proofErr w:type="spellStart"/>
      <w:r w:rsidRPr="00C862CA">
        <w:rPr>
          <w:rFonts w:ascii="Times New Roman" w:hAnsi="Times New Roman"/>
          <w:b w:val="0"/>
          <w:sz w:val="24"/>
          <w:szCs w:val="24"/>
        </w:rPr>
        <w:t>сбыта</w:t>
      </w:r>
      <w:r w:rsidRPr="00425DAA">
        <w:rPr>
          <w:rFonts w:ascii="Times New Roman" w:hAnsi="Times New Roman" w:cs="Times New Roman"/>
          <w:b w:val="0"/>
          <w:sz w:val="24"/>
          <w:szCs w:val="24"/>
        </w:rPr>
        <w:t>.При</w:t>
      </w:r>
      <w:proofErr w:type="spellEnd"/>
      <w:r w:rsidRPr="00425DAA">
        <w:rPr>
          <w:rFonts w:ascii="Times New Roman" w:hAnsi="Times New Roman" w:cs="Times New Roman"/>
          <w:b w:val="0"/>
          <w:sz w:val="24"/>
          <w:szCs w:val="24"/>
        </w:rPr>
        <w:t xml:space="preserve"> въезде на полигон ТБО </w:t>
      </w:r>
      <w:proofErr w:type="spellStart"/>
      <w:r w:rsidRPr="00425DAA">
        <w:rPr>
          <w:rFonts w:ascii="Times New Roman" w:hAnsi="Times New Roman" w:cs="Times New Roman"/>
          <w:b w:val="0"/>
          <w:sz w:val="24"/>
          <w:szCs w:val="24"/>
        </w:rPr>
        <w:t>мусоровозный</w:t>
      </w:r>
      <w:proofErr w:type="spellEnd"/>
      <w:r w:rsidRPr="00425DAA">
        <w:rPr>
          <w:rFonts w:ascii="Times New Roman" w:hAnsi="Times New Roman" w:cs="Times New Roman"/>
          <w:b w:val="0"/>
          <w:sz w:val="24"/>
          <w:szCs w:val="24"/>
        </w:rPr>
        <w:t xml:space="preserve"> транспорт проходит радиационный </w:t>
      </w:r>
      <w:r w:rsidRPr="00425DAA">
        <w:rPr>
          <w:rFonts w:ascii="Times New Roman" w:hAnsi="Times New Roman" w:cs="Times New Roman"/>
          <w:b w:val="0"/>
          <w:sz w:val="24"/>
          <w:szCs w:val="24"/>
          <w:shd w:val="clear" w:color="auto" w:fill="FFFFFF"/>
        </w:rPr>
        <w:t xml:space="preserve">дозиметрический контроль, </w:t>
      </w:r>
      <w:proofErr w:type="spellStart"/>
      <w:r w:rsidRPr="00425DAA">
        <w:rPr>
          <w:rFonts w:ascii="Times New Roman" w:hAnsi="Times New Roman" w:cs="Times New Roman"/>
          <w:b w:val="0"/>
          <w:sz w:val="24"/>
          <w:szCs w:val="24"/>
          <w:shd w:val="clear" w:color="auto" w:fill="FFFFFF"/>
        </w:rPr>
        <w:t>спец.техника</w:t>
      </w:r>
      <w:proofErr w:type="spellEnd"/>
      <w:r w:rsidRPr="00425DAA">
        <w:rPr>
          <w:rFonts w:ascii="Times New Roman" w:hAnsi="Times New Roman" w:cs="Times New Roman"/>
          <w:b w:val="0"/>
          <w:sz w:val="24"/>
          <w:szCs w:val="24"/>
          <w:shd w:val="clear" w:color="auto" w:fill="FFFFFF"/>
        </w:rPr>
        <w:t xml:space="preserve">  осуществляет выезд с полигон</w:t>
      </w:r>
      <w:r w:rsidR="00425DAA" w:rsidRPr="00425DAA">
        <w:rPr>
          <w:rFonts w:ascii="Times New Roman" w:hAnsi="Times New Roman" w:cs="Times New Roman"/>
          <w:b w:val="0"/>
          <w:sz w:val="24"/>
          <w:szCs w:val="24"/>
          <w:shd w:val="clear" w:color="auto" w:fill="FFFFFF"/>
        </w:rPr>
        <w:t>а через обеззараживающие ванны.</w:t>
      </w:r>
    </w:p>
    <w:p w:rsidR="00462562" w:rsidRDefault="00462562" w:rsidP="00425DAA">
      <w:pPr>
        <w:pStyle w:val="ConsPlusTitle"/>
        <w:widowControl/>
        <w:jc w:val="both"/>
        <w:rPr>
          <w:rFonts w:ascii="Times New Roman" w:hAnsi="Times New Roman" w:cs="Times New Roman"/>
          <w:b w:val="0"/>
          <w:sz w:val="24"/>
          <w:szCs w:val="24"/>
          <w:u w:val="single"/>
        </w:rPr>
      </w:pPr>
      <w:r w:rsidRPr="00425DAA">
        <w:rPr>
          <w:rFonts w:ascii="Times New Roman" w:hAnsi="Times New Roman" w:cs="Times New Roman"/>
          <w:b w:val="0"/>
          <w:sz w:val="24"/>
          <w:szCs w:val="24"/>
          <w:u w:val="single"/>
        </w:rPr>
        <w:t xml:space="preserve">В настоящее время полигон находится в стадии закрытия. Исковое заявление от Северо-Уральского межрегионального управления Федеральной службы по надзору в сфере </w:t>
      </w:r>
      <w:r w:rsidRPr="00425DAA">
        <w:rPr>
          <w:rFonts w:ascii="Times New Roman" w:hAnsi="Times New Roman" w:cs="Times New Roman"/>
          <w:b w:val="0"/>
          <w:sz w:val="24"/>
          <w:szCs w:val="24"/>
          <w:u w:val="single"/>
        </w:rPr>
        <w:lastRenderedPageBreak/>
        <w:t>природопользования о прекращении деятельности Исх.№03/2-63 от 16.04.21г.,  для рассмотрение в судом, дата судебного заседания назначена на 18.08.2021 года</w:t>
      </w:r>
      <w:r w:rsidR="00CD1273">
        <w:rPr>
          <w:rFonts w:ascii="Times New Roman" w:hAnsi="Times New Roman" w:cs="Times New Roman"/>
          <w:b w:val="0"/>
          <w:sz w:val="24"/>
          <w:szCs w:val="24"/>
          <w:u w:val="single"/>
        </w:rPr>
        <w:t>.</w:t>
      </w:r>
    </w:p>
    <w:p w:rsidR="00CD1273" w:rsidRPr="00425DAA" w:rsidRDefault="00CD1273" w:rsidP="00425DAA">
      <w:pPr>
        <w:pStyle w:val="ConsPlusTitle"/>
        <w:widowControl/>
        <w:jc w:val="both"/>
        <w:rPr>
          <w:rFonts w:ascii="Times New Roman" w:hAnsi="Times New Roman" w:cs="Times New Roman"/>
          <w:b w:val="0"/>
          <w:sz w:val="24"/>
          <w:szCs w:val="24"/>
          <w:shd w:val="clear" w:color="auto" w:fill="FFFFFF"/>
        </w:rPr>
      </w:pPr>
    </w:p>
    <w:p w:rsidR="00CD1273" w:rsidRPr="004E621B" w:rsidRDefault="00CD1273" w:rsidP="00CD1273">
      <w:pPr>
        <w:ind w:firstLine="540"/>
        <w:jc w:val="both"/>
      </w:pPr>
      <w:r>
        <w:t xml:space="preserve">В 2021 году заболеваемость лептоспирозом, </w:t>
      </w:r>
      <w:proofErr w:type="spellStart"/>
      <w:r>
        <w:t>иерсиниозом</w:t>
      </w:r>
      <w:proofErr w:type="spellEnd"/>
      <w:r>
        <w:t>,   псевдотуберкулезом не зарегистрирована.</w:t>
      </w:r>
    </w:p>
    <w:p w:rsidR="00462562" w:rsidRPr="00C5552B" w:rsidRDefault="00462562" w:rsidP="00462562">
      <w:pPr>
        <w:pStyle w:val="ConsPlusTitle"/>
        <w:widowControl/>
        <w:jc w:val="both"/>
        <w:rPr>
          <w:b w:val="0"/>
          <w:sz w:val="24"/>
          <w:szCs w:val="24"/>
        </w:rPr>
      </w:pPr>
    </w:p>
    <w:p w:rsidR="00DE0B47" w:rsidRDefault="00DE0B47" w:rsidP="00DE0B47">
      <w:pPr>
        <w:jc w:val="both"/>
      </w:pPr>
      <w:r>
        <w:t xml:space="preserve">      Отходы  класса «А» - 1573,200 тонн  </w:t>
      </w:r>
      <w:proofErr w:type="spellStart"/>
      <w:r>
        <w:t>захораниваются</w:t>
      </w:r>
      <w:proofErr w:type="spellEnd"/>
      <w:r>
        <w:t xml:space="preserve"> совместно с бытовыми отходами. Сбор и транспортировка производится </w:t>
      </w:r>
      <w:proofErr w:type="spellStart"/>
      <w:r>
        <w:t>мусоровознымтранспортомпредназначенным</w:t>
      </w:r>
      <w:proofErr w:type="spellEnd"/>
      <w:r>
        <w:t xml:space="preserve"> для сбора ТБО.</w:t>
      </w:r>
    </w:p>
    <w:p w:rsidR="00DE0B47" w:rsidRDefault="00DE0B47" w:rsidP="00DE0B47">
      <w:pPr>
        <w:jc w:val="both"/>
      </w:pPr>
      <w:r>
        <w:t xml:space="preserve">Отходы класса «Б» - 0,4 тонн </w:t>
      </w:r>
      <w:proofErr w:type="spellStart"/>
      <w:r>
        <w:t>захораниваются</w:t>
      </w:r>
      <w:proofErr w:type="spellEnd"/>
      <w:r>
        <w:t xml:space="preserve"> на выделенной карте. Сбор и транспортировка на полигон отходов класса «Б» производится ЛПУ самостоятельно.</w:t>
      </w:r>
    </w:p>
    <w:p w:rsidR="00DE0B47" w:rsidRDefault="00DE0B47" w:rsidP="00DE0B47">
      <w:pPr>
        <w:jc w:val="both"/>
      </w:pPr>
      <w:r>
        <w:t xml:space="preserve">      В ЛПУ образуются отходы классов «А», «Б» и «Г». Удаление отходов  класса «А» осуществляется на полигон ТБО по договору  с ООО «</w:t>
      </w:r>
      <w:proofErr w:type="spellStart"/>
      <w:r>
        <w:t>Спецкоммунсервис</w:t>
      </w:r>
      <w:proofErr w:type="spellEnd"/>
      <w:r>
        <w:t xml:space="preserve">».  Сбор и транспортировка медицинских отходов класса «А» производится </w:t>
      </w:r>
      <w:proofErr w:type="spellStart"/>
      <w:r>
        <w:t>мусоровозным</w:t>
      </w:r>
      <w:proofErr w:type="spellEnd"/>
      <w:r>
        <w:t xml:space="preserve"> транспортом, предназначенным для сбора ТБО. Сбор и транспортировку и утилизацию медицинских отходов класса «Б» ООО «</w:t>
      </w:r>
      <w:proofErr w:type="spellStart"/>
      <w:r>
        <w:t>Спецкоммунсервис</w:t>
      </w:r>
      <w:proofErr w:type="spellEnd"/>
      <w:r>
        <w:t>» не осуществляет.</w:t>
      </w:r>
    </w:p>
    <w:p w:rsidR="00DE0B47" w:rsidRDefault="00DE0B47" w:rsidP="00DE0B47">
      <w:pPr>
        <w:jc w:val="both"/>
      </w:pPr>
      <w:r>
        <w:t xml:space="preserve">   Транспортировку отходов класса «Б» ЛПУ производится самостоятельно, на специализированном транспорте. Удаление отходов класса «Б» после предварительного обеззараживания осуществляется на полигон ТБО «</w:t>
      </w:r>
      <w:proofErr w:type="spellStart"/>
      <w:r>
        <w:t>Спецкоммунсервис</w:t>
      </w:r>
      <w:proofErr w:type="spellEnd"/>
      <w:r>
        <w:t xml:space="preserve">», согласно СанПиН </w:t>
      </w:r>
      <w:r>
        <w:rPr>
          <w:rFonts w:eastAsia="Arial"/>
          <w:kern w:val="2"/>
          <w:lang w:eastAsia="ar-SA"/>
        </w:rPr>
        <w:t>2.1.7.2790-10</w:t>
      </w:r>
      <w:r>
        <w:t xml:space="preserve"> «</w:t>
      </w:r>
      <w:r>
        <w:rPr>
          <w:rFonts w:eastAsia="Arial"/>
          <w:bCs/>
          <w:kern w:val="2"/>
          <w:lang w:eastAsia="ar-SA"/>
        </w:rPr>
        <w:t xml:space="preserve">Санитарно-эпидемиологические </w:t>
      </w:r>
      <w:r>
        <w:rPr>
          <w:rFonts w:eastAsia="Arial"/>
          <w:kern w:val="2"/>
          <w:lang w:eastAsia="ar-SA"/>
        </w:rPr>
        <w:t>требования к обращению с медицинскими отходами</w:t>
      </w:r>
      <w:r>
        <w:t>.</w:t>
      </w:r>
    </w:p>
    <w:p w:rsidR="00DE0B47" w:rsidRDefault="00DE0B47" w:rsidP="00DE0B47">
      <w:pPr>
        <w:ind w:firstLine="708"/>
        <w:jc w:val="both"/>
      </w:pPr>
      <w:r>
        <w:t>Отходы класса «Б»   БУ ХМАО-Югры  «</w:t>
      </w:r>
      <w:proofErr w:type="spellStart"/>
      <w:r>
        <w:t>Нефтеюганская</w:t>
      </w:r>
      <w:proofErr w:type="spellEnd"/>
      <w:r>
        <w:t xml:space="preserve"> окружная клиническая больница им. </w:t>
      </w:r>
      <w:proofErr w:type="spellStart"/>
      <w:r>
        <w:t>В.И.Яцкив</w:t>
      </w:r>
      <w:proofErr w:type="spellEnd"/>
      <w:r>
        <w:t>», утилизируются на территории больницы  в термических утилизаторах «</w:t>
      </w:r>
      <w:r>
        <w:rPr>
          <w:lang w:val="en-US"/>
        </w:rPr>
        <w:t>NEWSTER</w:t>
      </w:r>
      <w:r>
        <w:t xml:space="preserve">10», а так же  ООО «Сибирская экологическая компания» согласно договора. </w:t>
      </w:r>
    </w:p>
    <w:p w:rsidR="00DE0B47" w:rsidRDefault="00DE0B47" w:rsidP="00DE0B47">
      <w:pPr>
        <w:ind w:firstLine="708"/>
        <w:jc w:val="both"/>
      </w:pPr>
      <w:r>
        <w:t xml:space="preserve"> Отходы класса «Г» (ртутьсодержащие лампы) вывозятся по договору на  специализированном транспорте предприятиями, имеющими лицензию на данный вид деятельности – ООО «ЭКО-Меркурий»</w:t>
      </w:r>
    </w:p>
    <w:p w:rsidR="00DE0B47" w:rsidRDefault="00DE0B47" w:rsidP="00DE0B47">
      <w:pPr>
        <w:ind w:firstLine="708"/>
        <w:jc w:val="both"/>
      </w:pPr>
      <w:r>
        <w:t>БУ ХМАО-Югры «</w:t>
      </w:r>
      <w:proofErr w:type="spellStart"/>
      <w:r>
        <w:t>Нефтеюганская</w:t>
      </w:r>
      <w:proofErr w:type="spellEnd"/>
      <w:r>
        <w:t xml:space="preserve"> городская стоматологическая поликлиника»</w:t>
      </w:r>
    </w:p>
    <w:p w:rsidR="00DE0B47" w:rsidRDefault="00DE0B47" w:rsidP="00DE0B47">
      <w:pPr>
        <w:jc w:val="both"/>
      </w:pPr>
      <w:r>
        <w:t xml:space="preserve">   Количество образовавшихся отходов класса А -337,5куб. метров. класса Б 12 куб метров, класса Г 0,046тн.  Обеззараживание отходов класса Б производится на местах образования в стоматологических кабинетах школ и клиники. После заполнения пакетов на ¾, герметично их упаковывают и помещают в крытый кузов – прицеп который находится на территории учреждения по адресу 16а </w:t>
      </w:r>
      <w:proofErr w:type="spellStart"/>
      <w:r>
        <w:t>мкр</w:t>
      </w:r>
      <w:proofErr w:type="spellEnd"/>
      <w:r>
        <w:t>, дом 34. Кузов прицеп оборудован съемными, прочно зафиксированными многоразовыми контейнерами из пластика для размещения в них емкостей с отходами класса «Б». Ежедневно отходы класса «Б» доставляются на полигон ООО «</w:t>
      </w:r>
      <w:proofErr w:type="spellStart"/>
      <w:r>
        <w:t>Спецкоммунсервис</w:t>
      </w:r>
      <w:proofErr w:type="spellEnd"/>
      <w:r>
        <w:t>» для захоронения.</w:t>
      </w:r>
    </w:p>
    <w:p w:rsidR="00DE0B47" w:rsidRDefault="00DE0B47" w:rsidP="00DE0B47">
      <w:pPr>
        <w:jc w:val="both"/>
      </w:pPr>
      <w:r>
        <w:t xml:space="preserve">              Отходы класса «Г» собираются и транспортируются по договору с ООО «Каюр» и утилизируются  ООО «ЭКО-Меркурий».</w:t>
      </w:r>
    </w:p>
    <w:p w:rsidR="00DE0B47" w:rsidRDefault="00DE0B47" w:rsidP="00DE0B47">
      <w:pPr>
        <w:ind w:firstLine="708"/>
        <w:jc w:val="both"/>
      </w:pPr>
      <w:r>
        <w:t>Отходы класса Б, Г из других медицинских учреждений  утилизируются согласно договора с ООО «Сибирская экологическая компания», ООО «</w:t>
      </w:r>
      <w:proofErr w:type="spellStart"/>
      <w:r>
        <w:t>Промжилсервис</w:t>
      </w:r>
      <w:proofErr w:type="spellEnd"/>
      <w:r>
        <w:t>», ООО «Селена – Экология»</w:t>
      </w:r>
    </w:p>
    <w:p w:rsidR="00DE0B47" w:rsidRDefault="00DE0B47" w:rsidP="00DE0B47">
      <w:pPr>
        <w:ind w:firstLine="708"/>
        <w:jc w:val="both"/>
      </w:pPr>
      <w:r>
        <w:t xml:space="preserve"> В ЛПУ приказами руководителей назначены ответственные специалисты для организации по обращению с отходами, в том числе и биологическими отходами.  В ЛПУ имеются утвержденные и согласованные инструкции, устанавливающие правила обращения с отходами. Биологические отходы (</w:t>
      </w:r>
      <w:proofErr w:type="spellStart"/>
      <w:r>
        <w:t>б</w:t>
      </w:r>
      <w:r>
        <w:rPr>
          <w:bCs/>
        </w:rPr>
        <w:t>иопсийный</w:t>
      </w:r>
      <w:proofErr w:type="spellEnd"/>
      <w:r>
        <w:rPr>
          <w:bCs/>
        </w:rPr>
        <w:t xml:space="preserve"> и отработанный операционный материал) относится к классу «Б». </w:t>
      </w:r>
      <w:r>
        <w:t xml:space="preserve">Обеззараживание отходов класса «Б» организовано в местах их первичного образования (процедурные, перевязочные, лаборатории, операционные). Для дезинфекции используются формалин,  хлорная известь, клорсепт-25, </w:t>
      </w:r>
      <w:proofErr w:type="spellStart"/>
      <w:r>
        <w:t>сульфохлорантин</w:t>
      </w:r>
      <w:proofErr w:type="spellEnd"/>
      <w:r>
        <w:t xml:space="preserve">-Д, сухая хлорная известь, </w:t>
      </w:r>
      <w:proofErr w:type="spellStart"/>
      <w:r>
        <w:t>самаровка</w:t>
      </w:r>
      <w:proofErr w:type="spellEnd"/>
      <w:r>
        <w:t xml:space="preserve">, </w:t>
      </w:r>
      <w:proofErr w:type="spellStart"/>
      <w:r>
        <w:t>деконекс</w:t>
      </w:r>
      <w:proofErr w:type="spellEnd"/>
      <w:r>
        <w:t xml:space="preserve">, </w:t>
      </w:r>
      <w:proofErr w:type="spellStart"/>
      <w:r>
        <w:t>деохлор</w:t>
      </w:r>
      <w:proofErr w:type="spellEnd"/>
      <w:r>
        <w:t xml:space="preserve">, </w:t>
      </w:r>
      <w:proofErr w:type="spellStart"/>
      <w:r>
        <w:t>пюржавель</w:t>
      </w:r>
      <w:proofErr w:type="spellEnd"/>
      <w:r>
        <w:t xml:space="preserve">. </w:t>
      </w:r>
    </w:p>
    <w:p w:rsidR="00DE0B47" w:rsidRDefault="00DE0B47" w:rsidP="00DE0B47">
      <w:pPr>
        <w:jc w:val="both"/>
      </w:pPr>
      <w:r>
        <w:lastRenderedPageBreak/>
        <w:tab/>
        <w:t xml:space="preserve"> Сбор отходов класса «Б» в БУ ХМАО-Югры  «</w:t>
      </w:r>
      <w:proofErr w:type="spellStart"/>
      <w:r>
        <w:t>Нефтеюганская</w:t>
      </w:r>
      <w:proofErr w:type="spellEnd"/>
      <w:r>
        <w:t xml:space="preserve"> окружная клиническая больница им. </w:t>
      </w:r>
      <w:proofErr w:type="spellStart"/>
      <w:r>
        <w:t>В.И.Яцкив</w:t>
      </w:r>
      <w:proofErr w:type="spellEnd"/>
      <w:r>
        <w:t xml:space="preserve">» осуществляется  в герметичные пакеты желтого цвета и </w:t>
      </w:r>
      <w:proofErr w:type="spellStart"/>
      <w:r>
        <w:t>непрокалываемые</w:t>
      </w:r>
      <w:proofErr w:type="spellEnd"/>
      <w:r>
        <w:t xml:space="preserve"> контейнеры отдельно по емкостям: одноразовые шприцы, стеклянные пробирки, иглы от шприцов и систем переливания, марлевые салфетки, биологический материал. Пакеты герметизируют, маркируют с указанием кода подразделения и ФИО ответственного лица.  Собранные в каждом отделении отходы транспортируются в помещение </w:t>
      </w:r>
      <w:r w:rsidR="00B21B55">
        <w:t>утилизатор ной</w:t>
      </w:r>
      <w:r>
        <w:t>.  Утилизация отходов класса «Б» в БУ «</w:t>
      </w:r>
      <w:proofErr w:type="spellStart"/>
      <w:r>
        <w:t>Нефтеюганская</w:t>
      </w:r>
      <w:proofErr w:type="spellEnd"/>
      <w:r>
        <w:t xml:space="preserve"> окружная больница им. </w:t>
      </w:r>
      <w:proofErr w:type="spellStart"/>
      <w:r>
        <w:t>В.И.Яцкив</w:t>
      </w:r>
      <w:proofErr w:type="spellEnd"/>
      <w:r>
        <w:t>» осуществляется в специализированной установке «Ньюстер-10» с автоматическим упаковщиком «</w:t>
      </w:r>
      <w:proofErr w:type="spellStart"/>
      <w:r>
        <w:t>Ньюстер-автопак</w:t>
      </w:r>
      <w:proofErr w:type="spellEnd"/>
      <w:r>
        <w:t xml:space="preserve">». Мощность установки 30-50 кг/час, продолжительность полного цикла  обработки 20 минут. Режим работы установки по утилизации отходов 2-х сменный. Установка располагается в специальном помещении хозяйственного корпуса. Установка позволяет довести инфицированные отходы до полностью безопасной в эпидемическом плане однородной массы, пригодной для вывоза на общегородской полигон твердых бытовых отходов. Данная технология проводит измельчение и дезинфекцию твердых медицинских отходов небиологического и биологического характера. Загрузка отходов в агрегат по переработке отходов (утилизатор) осуществляется в соответствии с отработанной методикой, образующуюся золу и пепел направляют вместе с бытовыми отходами на городской полигон. </w:t>
      </w:r>
    </w:p>
    <w:p w:rsidR="00CD1273" w:rsidRDefault="00B21B55" w:rsidP="00DE0B47">
      <w:pPr>
        <w:jc w:val="both"/>
      </w:pPr>
      <w:r>
        <w:tab/>
      </w:r>
    </w:p>
    <w:p w:rsidR="00DE0B47" w:rsidRDefault="00B21B55" w:rsidP="00DE0B47">
      <w:pPr>
        <w:jc w:val="both"/>
      </w:pPr>
      <w:r>
        <w:t>Согласно пункта</w:t>
      </w:r>
      <w:r w:rsidR="00DE0B47">
        <w:t xml:space="preserve"> 26 постановления Правительства Российской Федерации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 определен перечень работ по обеспечению вывоза бытовых отходов, в который входит в числе прочего организация мест накопления бытовых отходов, сбор отходов  I - IV классов опасности (отработанных ртутьсодержащих ламп и др.) и их передача в специализированные организации, имеющие лицензии на осуществление деятельности по сбору, использованию, обезвреживанию, транспортированию и размещению таких отходов.</w:t>
      </w:r>
    </w:p>
    <w:p w:rsidR="00DE0B47" w:rsidRDefault="00DE0B47" w:rsidP="00DE0B47">
      <w:pPr>
        <w:jc w:val="both"/>
      </w:pPr>
      <w:r>
        <w:tab/>
        <w:t>В соответствии с вышеуказанными документами, управляющими компаниями организованы временное накопление отработанных ртутьсодержащих ламп от собственников и нанимателей жилых помещений и их последующая передача специализированным организациям.</w:t>
      </w:r>
    </w:p>
    <w:p w:rsidR="00DE0B47" w:rsidRDefault="00DE0B47" w:rsidP="00DE0B47">
      <w:pPr>
        <w:jc w:val="both"/>
      </w:pPr>
      <w:r>
        <w:tab/>
        <w:t>Соответствующее объявление с указанием адресов, графиков работы и контактных телефонов размещено на сайте органов местного самоуправления города Нефтеюганска.</w:t>
      </w:r>
    </w:p>
    <w:p w:rsidR="00DE0B47" w:rsidRDefault="00DE0B47" w:rsidP="00DE0B47">
      <w:pPr>
        <w:jc w:val="both"/>
      </w:pPr>
      <w:r>
        <w:tab/>
        <w:t>Кроме того, жители города регулярно информируются о необходимости и местах сбора ртутьсодержащих отходов путем размещения объявлений на подъездных информационных щитах жилых домов, через кассы ОАО «Расчетно-кассовый центр» ЖКХ и через средства массовой информации.</w:t>
      </w:r>
    </w:p>
    <w:p w:rsidR="00DE0B47" w:rsidRDefault="00DE0B47" w:rsidP="00DE0B47">
      <w:pPr>
        <w:jc w:val="both"/>
      </w:pPr>
      <w:r>
        <w:tab/>
      </w:r>
    </w:p>
    <w:p w:rsidR="00DE0B47" w:rsidRDefault="00DE0B47" w:rsidP="00DE0B47">
      <w:pPr>
        <w:jc w:val="both"/>
      </w:pPr>
      <w:r>
        <w:tab/>
        <w:t xml:space="preserve"> Промышленными предприятиями и управляющими компаниями  заключаются договора со специализированными предприятиями по </w:t>
      </w:r>
      <w:proofErr w:type="spellStart"/>
      <w:r>
        <w:t>демеркуризации</w:t>
      </w:r>
      <w:proofErr w:type="spellEnd"/>
      <w:r>
        <w:t xml:space="preserve"> ртути и ртутьсодержащих ламп в ООО «Сибирская экологическая компания»-</w:t>
      </w:r>
      <w:proofErr w:type="spellStart"/>
      <w:r>
        <w:t>Сургутский</w:t>
      </w:r>
      <w:proofErr w:type="spellEnd"/>
      <w:r>
        <w:t xml:space="preserve"> район </w:t>
      </w:r>
      <w:proofErr w:type="spellStart"/>
      <w:r>
        <w:t>пгт.белый</w:t>
      </w:r>
      <w:proofErr w:type="spellEnd"/>
      <w:r>
        <w:t xml:space="preserve"> Яр, ООО «</w:t>
      </w:r>
      <w:proofErr w:type="spellStart"/>
      <w:r>
        <w:t>Эконадзор</w:t>
      </w:r>
      <w:proofErr w:type="spellEnd"/>
      <w:r>
        <w:t xml:space="preserve">» </w:t>
      </w:r>
      <w:proofErr w:type="spellStart"/>
      <w:r>
        <w:t>г.Сургут</w:t>
      </w:r>
      <w:proofErr w:type="spellEnd"/>
      <w:r>
        <w:t xml:space="preserve">». На территории </w:t>
      </w:r>
      <w:proofErr w:type="spellStart"/>
      <w:r>
        <w:t>г.Нефтеюганска</w:t>
      </w:r>
      <w:proofErr w:type="spellEnd"/>
      <w:r>
        <w:t xml:space="preserve"> отсутствуют предприятия имеющие лицензию на утилизацию ртутьсодержащих отходов.</w:t>
      </w:r>
      <w:r w:rsidR="00B21B55">
        <w:t xml:space="preserve">      Отработанные ртутьсодержащие лампы передаются на утилизацию в специализированные организации:-ООО «Сибирская экологическая компания» - </w:t>
      </w:r>
      <w:proofErr w:type="spellStart"/>
      <w:r w:rsidR="00B21B55">
        <w:t>Сургутский</w:t>
      </w:r>
      <w:proofErr w:type="spellEnd"/>
      <w:r w:rsidR="00B21B55">
        <w:t xml:space="preserve"> район, </w:t>
      </w:r>
      <w:proofErr w:type="spellStart"/>
      <w:r w:rsidR="00B21B55">
        <w:t>пгт</w:t>
      </w:r>
      <w:proofErr w:type="spellEnd"/>
      <w:r w:rsidR="00B21B55">
        <w:t>. Белый Яр, ул. Таежная, д. 24, -ООО «</w:t>
      </w:r>
      <w:proofErr w:type="spellStart"/>
      <w:r w:rsidR="00B21B55">
        <w:t>Эконадзор</w:t>
      </w:r>
      <w:proofErr w:type="spellEnd"/>
      <w:r w:rsidR="00B21B55">
        <w:t>», - г. Сургут, ул. Декабристов, 1А,</w:t>
      </w:r>
    </w:p>
    <w:p w:rsidR="00DE0B47" w:rsidRDefault="00DE0B47" w:rsidP="00DE0B47">
      <w:pPr>
        <w:ind w:firstLine="708"/>
        <w:jc w:val="both"/>
      </w:pPr>
      <w:r>
        <w:t xml:space="preserve"> Сбор, транспортировка отходов 1 класса опасности (ртутьсодержащих ламп) образующиеся в результате деятельности юридических лиц, индивидуальных предпринимателей осуществляется по двум схемам: 1 схема - предприятие имеет лицензию на  сбор и транспортировку ртутьсодержащих ламп. Отходы накапливаются на </w:t>
      </w:r>
      <w:r>
        <w:lastRenderedPageBreak/>
        <w:t>предприятии и при достижении максимально допустимого объема транспортируются собственным транспортом в организацию имеющую лицензию на утилизацию ртутьсодержащих ламп.2 схема - предприятие  заключает договор с организацией  имеющей лицензию на сбор и транспортировку ртутьсодержащих ламп, которая по  мере необходимости производит замену ламп и транспортировку на собственный объект накопления отходов для последующей транспортировки организацию имеющую лицензию на утилизацию ртутьсодержащих ламп.</w:t>
      </w:r>
    </w:p>
    <w:p w:rsidR="00DE0B47" w:rsidRDefault="00DE0B47" w:rsidP="00DE0B47">
      <w:pPr>
        <w:jc w:val="both"/>
      </w:pPr>
      <w:r>
        <w:t xml:space="preserve">По первой схеме работают промышленные предприятия, на балансе которых имеется транспорт, по второй схеме все остальные учреждения.  </w:t>
      </w:r>
    </w:p>
    <w:p w:rsidR="006E5049" w:rsidRDefault="00DE0B47" w:rsidP="00DE0B47">
      <w:pPr>
        <w:ind w:firstLine="708"/>
        <w:jc w:val="both"/>
      </w:pPr>
      <w:r>
        <w:t xml:space="preserve">Отходы промышленных предприятий 2 класса опасности транспортируются  за пределы </w:t>
      </w:r>
      <w:proofErr w:type="spellStart"/>
      <w:r>
        <w:t>Нефтеюганского</w:t>
      </w:r>
      <w:proofErr w:type="spellEnd"/>
      <w:r>
        <w:t xml:space="preserve"> региона: аккумуляторы, отработанные с </w:t>
      </w:r>
      <w:proofErr w:type="spellStart"/>
      <w:r>
        <w:t>неслитым</w:t>
      </w:r>
      <w:proofErr w:type="spellEnd"/>
      <w:r>
        <w:t xml:space="preserve"> электролитом сдаются в  ООО «Аккумуляторный дом». Отходы 3 класса опасности: отработанные масла автомобильные, индустриальные масла сдаются  для использования ООО «</w:t>
      </w:r>
      <w:proofErr w:type="spellStart"/>
      <w:r>
        <w:t>Роснефтепродукт</w:t>
      </w:r>
      <w:proofErr w:type="spellEnd"/>
      <w:r>
        <w:t xml:space="preserve">». Использованные автомобильные покрышки - в ООО «Гуниб» </w:t>
      </w:r>
      <w:proofErr w:type="spellStart"/>
      <w:r>
        <w:t>г.Сургут</w:t>
      </w:r>
      <w:proofErr w:type="spellEnd"/>
      <w:r>
        <w:t xml:space="preserve">.     </w:t>
      </w:r>
    </w:p>
    <w:p w:rsidR="00BB5E43" w:rsidRDefault="00BB5E43" w:rsidP="00BB5E43">
      <w:pPr>
        <w:pStyle w:val="a3"/>
        <w:ind w:firstLine="708"/>
        <w:rPr>
          <w:rFonts w:eastAsia="Arial Unicode MS"/>
          <w:sz w:val="24"/>
          <w:szCs w:val="24"/>
        </w:rPr>
      </w:pPr>
      <w:r>
        <w:rPr>
          <w:rFonts w:eastAsia="Arial Unicode MS"/>
          <w:sz w:val="24"/>
          <w:szCs w:val="24"/>
        </w:rPr>
        <w:t xml:space="preserve">Филиалом ФБУЗ «ЦГ и Э» проводятся лабораторные исследования почвы по санитарно-химическим, микробиологическим и </w:t>
      </w:r>
      <w:proofErr w:type="spellStart"/>
      <w:r>
        <w:rPr>
          <w:rFonts w:eastAsia="Arial Unicode MS"/>
          <w:sz w:val="24"/>
          <w:szCs w:val="24"/>
        </w:rPr>
        <w:t>паразитологическим</w:t>
      </w:r>
      <w:proofErr w:type="spellEnd"/>
      <w:r>
        <w:rPr>
          <w:rFonts w:eastAsia="Arial Unicode MS"/>
          <w:sz w:val="24"/>
          <w:szCs w:val="24"/>
        </w:rPr>
        <w:t xml:space="preserve"> показателям.  </w:t>
      </w:r>
    </w:p>
    <w:p w:rsidR="00BB5E43" w:rsidRDefault="00BB5E43" w:rsidP="00BB5E43">
      <w:pPr>
        <w:pStyle w:val="a3"/>
        <w:ind w:firstLine="708"/>
        <w:rPr>
          <w:rFonts w:eastAsia="Arial Unicode MS"/>
          <w:sz w:val="24"/>
          <w:szCs w:val="24"/>
        </w:rPr>
      </w:pPr>
      <w:r>
        <w:rPr>
          <w:rFonts w:eastAsia="Arial Unicode MS"/>
          <w:sz w:val="24"/>
          <w:szCs w:val="24"/>
        </w:rPr>
        <w:t xml:space="preserve">Контроль за качественным составом почв, содержанием территорий организован и в селитебной зоне (детские площадки, места массового отдыха населения), вдоль автомагистралей, граничащих с дачными участками, в санитарно-защитной зоне полигонов ТБО, в </w:t>
      </w:r>
      <w:proofErr w:type="spellStart"/>
      <w:r>
        <w:rPr>
          <w:rFonts w:eastAsia="Arial Unicode MS"/>
          <w:sz w:val="24"/>
          <w:szCs w:val="24"/>
        </w:rPr>
        <w:t>водоохранных</w:t>
      </w:r>
      <w:proofErr w:type="spellEnd"/>
      <w:r>
        <w:rPr>
          <w:rFonts w:eastAsia="Arial Unicode MS"/>
          <w:sz w:val="24"/>
          <w:szCs w:val="24"/>
        </w:rPr>
        <w:t xml:space="preserve"> зонах поверхностного и подземного  источника водоснабжения.</w:t>
      </w:r>
    </w:p>
    <w:p w:rsidR="00BB5E43" w:rsidRPr="0057155F" w:rsidRDefault="00BB5E43" w:rsidP="00BB5E43">
      <w:pPr>
        <w:pStyle w:val="a3"/>
        <w:ind w:firstLine="708"/>
        <w:rPr>
          <w:rFonts w:eastAsia="Arial Unicode MS"/>
          <w:sz w:val="24"/>
          <w:szCs w:val="24"/>
        </w:rPr>
      </w:pPr>
      <w:r>
        <w:rPr>
          <w:rFonts w:eastAsia="Arial Unicode MS"/>
          <w:sz w:val="24"/>
          <w:szCs w:val="24"/>
        </w:rPr>
        <w:t>Всего  на территории города исследовано проб почвы по ми</w:t>
      </w:r>
      <w:r w:rsidR="00425DAA">
        <w:rPr>
          <w:rFonts w:eastAsia="Arial Unicode MS"/>
          <w:sz w:val="24"/>
          <w:szCs w:val="24"/>
        </w:rPr>
        <w:t>кробиологическим показателям 50</w:t>
      </w:r>
      <w:r>
        <w:rPr>
          <w:rFonts w:eastAsia="Arial Unicode MS"/>
          <w:sz w:val="24"/>
          <w:szCs w:val="24"/>
        </w:rPr>
        <w:t xml:space="preserve"> не соответствующих по гигиеническим нормативам не выявлено, по </w:t>
      </w:r>
      <w:proofErr w:type="spellStart"/>
      <w:r>
        <w:rPr>
          <w:rFonts w:eastAsia="Arial Unicode MS"/>
          <w:sz w:val="24"/>
          <w:szCs w:val="24"/>
        </w:rPr>
        <w:t>паразитоло</w:t>
      </w:r>
      <w:r w:rsidRPr="0057155F">
        <w:rPr>
          <w:rFonts w:eastAsia="Arial Unicode MS"/>
          <w:sz w:val="24"/>
          <w:szCs w:val="24"/>
        </w:rPr>
        <w:t>гическим</w:t>
      </w:r>
      <w:proofErr w:type="spellEnd"/>
      <w:r w:rsidRPr="0057155F">
        <w:rPr>
          <w:rFonts w:eastAsia="Arial Unicode MS"/>
          <w:sz w:val="24"/>
          <w:szCs w:val="24"/>
        </w:rPr>
        <w:t xml:space="preserve"> показателям</w:t>
      </w:r>
      <w:r w:rsidR="00425DAA" w:rsidRPr="0057155F">
        <w:rPr>
          <w:rFonts w:eastAsia="Arial Unicode MS"/>
          <w:sz w:val="24"/>
          <w:szCs w:val="24"/>
        </w:rPr>
        <w:t xml:space="preserve"> исследовано 85 </w:t>
      </w:r>
      <w:r w:rsidRPr="0057155F">
        <w:rPr>
          <w:rFonts w:eastAsia="Arial Unicode MS"/>
          <w:sz w:val="24"/>
          <w:szCs w:val="24"/>
        </w:rPr>
        <w:t xml:space="preserve"> проб, не соответствующих гигиеническим нормативам – не выявлено.  При исследовании почвы на соли тяжелых металлов (1 проб)-превышения концентраций по физико-химическим   показателям нет. Проб (всего исследовано -1 проба) с превышением  концентраций по радиологическим показателям нет.  </w:t>
      </w:r>
    </w:p>
    <w:p w:rsidR="00BB5E43" w:rsidRPr="0057155F" w:rsidRDefault="00BB5E43" w:rsidP="00BB5E43">
      <w:pPr>
        <w:pStyle w:val="a3"/>
        <w:ind w:firstLine="708"/>
        <w:rPr>
          <w:rFonts w:eastAsia="Arial Unicode MS"/>
          <w:sz w:val="24"/>
          <w:szCs w:val="24"/>
        </w:rPr>
      </w:pPr>
      <w:r w:rsidRPr="0057155F">
        <w:rPr>
          <w:sz w:val="24"/>
          <w:szCs w:val="24"/>
        </w:rPr>
        <w:t xml:space="preserve">По степени загрязнения почвы селитебной территории города можно отнести ко 2-й степени с умеренным загрязнением. </w:t>
      </w:r>
      <w:r w:rsidRPr="0057155F">
        <w:rPr>
          <w:rFonts w:eastAsia="Arial Unicode MS"/>
          <w:sz w:val="24"/>
          <w:szCs w:val="24"/>
        </w:rPr>
        <w:tab/>
      </w:r>
    </w:p>
    <w:p w:rsidR="00425DAA" w:rsidRPr="00992CE3" w:rsidRDefault="00425DAA" w:rsidP="00992CE3">
      <w:pPr>
        <w:jc w:val="both"/>
      </w:pPr>
    </w:p>
    <w:p w:rsidR="00102AC4" w:rsidRPr="0057155F" w:rsidRDefault="00102AC4" w:rsidP="00102AC4">
      <w:pPr>
        <w:jc w:val="both"/>
      </w:pPr>
      <w:r w:rsidRPr="0057155F">
        <w:tab/>
        <w:t xml:space="preserve">В соответствии со ст. 24.6 Федерального закона от 24.06.1998 № 89-ФЗ         «Об отходах производства и потребления» (далее — ФЗ-89) сбор, транспортирование, обработка, утилизация, обезвреживание, захоронение ТКС) на территории субъекта Российской Федерации обеспечиваются одним или несколькими региональными операторами в соответствии с региональной программой в области обращения с отходами, в том числе с ТКО, и территориальной схемой обращения с отходами, в том числе с ТКО. При этом накопление, сбор, транспортирование, обработка, утилизация, обезвреживание и захоронение ТКО осуществляются в соответствии с Постановлением Правительства РФ от 12.11.2016 № 1 156 «Об обращении с твердыми коммунальными отходами и внесении изменения в постановление Правительства Российской Федерации от 25.08 2008 г. № 641» (далее — Постановление № 1156). </w:t>
      </w:r>
    </w:p>
    <w:p w:rsidR="00102AC4" w:rsidRPr="0057155F" w:rsidRDefault="00102AC4" w:rsidP="00102AC4">
      <w:pPr>
        <w:ind w:firstLine="708"/>
        <w:jc w:val="both"/>
      </w:pPr>
      <w:r w:rsidRPr="0057155F">
        <w:t xml:space="preserve">В силу статьи 1 Федерального закона от 24 июня 1998 г. 89-ФЗ «Об отходах производства и потребления» (далее Закон 89-ФЗ) определено, что твердыми коммунальными отходами (далее - ТКО) являются 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К ПСО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 </w:t>
      </w:r>
    </w:p>
    <w:p w:rsidR="00102AC4" w:rsidRPr="0057155F" w:rsidRDefault="00102AC4" w:rsidP="00102AC4">
      <w:pPr>
        <w:ind w:firstLine="708"/>
        <w:jc w:val="both"/>
      </w:pPr>
      <w:r w:rsidRPr="0057155F">
        <w:lastRenderedPageBreak/>
        <w:t xml:space="preserve">Согласно федеральному классификационному каталогу отходов, утвержденному федеральной службой по надзору в сфере природопользования, приказ от 22 мая 2017 г. 242, к ТКС) относятся все виды отходов подтипа «Отходы коммунальные твердые» (код 731 000 00 00 0), а также другие отходы типа «Отходы коммунальные, подобные коммунальным на производстве, отходы при предоставлении услуг населению» (код 7 30 000 00 00 0). </w:t>
      </w:r>
    </w:p>
    <w:p w:rsidR="00102AC4" w:rsidRPr="0057155F" w:rsidRDefault="00F118A4" w:rsidP="00102AC4">
      <w:pPr>
        <w:jc w:val="both"/>
      </w:pPr>
      <w:r>
        <w:tab/>
      </w:r>
      <w:r w:rsidR="00102AC4" w:rsidRPr="0057155F">
        <w:t xml:space="preserve">Управляющие компании (далее – УК) занимаются содержанием мест (площадок) накопления ТКО (согласно ст.8 ФЗ от 24.06.1998 №89-ФЗ «Об отходах производства и потребления»), что указано в Постановлении администрации г. Нефтеюганска от 14.06.2018г. №86-нп «Об утверждении порядка накопления твердых коммунальных отходов (в том числе раздельного накопления) на территории муниципального образования город Нефтеюганск» (с изм. от 26.08.2019 №148-нп). </w:t>
      </w:r>
    </w:p>
    <w:p w:rsidR="00102AC4" w:rsidRPr="0057155F" w:rsidRDefault="00102AC4" w:rsidP="00102AC4">
      <w:pPr>
        <w:ind w:firstLine="708"/>
        <w:jc w:val="both"/>
      </w:pPr>
      <w:r w:rsidRPr="0057155F">
        <w:t>Управляющими компаниями организованы пункты раздельного накопления отходов таких как: отработанные ртутьсодержащие (энергосберегающие, люминесцентные) лампы и батарейки. Сбором отработанных ртутьсодержащих ламп и батареек занимаются лицензированные организации: ООО "Сибирская экологическая компания", ООО "</w:t>
      </w:r>
      <w:proofErr w:type="spellStart"/>
      <w:r w:rsidRPr="0057155F">
        <w:t>Эконадзор</w:t>
      </w:r>
      <w:proofErr w:type="spellEnd"/>
      <w:r w:rsidRPr="0057155F">
        <w:t xml:space="preserve">", ООО «Экологическая практика».  </w:t>
      </w:r>
    </w:p>
    <w:p w:rsidR="00102AC4" w:rsidRPr="0057155F" w:rsidRDefault="00102AC4" w:rsidP="00102AC4">
      <w:pPr>
        <w:ind w:firstLine="708"/>
        <w:jc w:val="both"/>
      </w:pPr>
      <w:r w:rsidRPr="0057155F">
        <w:rPr>
          <w:rFonts w:hint="eastAsia"/>
        </w:rPr>
        <w:t>В</w:t>
      </w:r>
      <w:r w:rsidR="00C46A7D">
        <w:t xml:space="preserve"> </w:t>
      </w:r>
      <w:r w:rsidRPr="0057155F">
        <w:rPr>
          <w:rFonts w:hint="eastAsia"/>
        </w:rPr>
        <w:t>соответствии</w:t>
      </w:r>
      <w:r w:rsidR="00C46A7D">
        <w:t xml:space="preserve"> </w:t>
      </w:r>
      <w:r w:rsidRPr="0057155F">
        <w:rPr>
          <w:rFonts w:hint="eastAsia"/>
        </w:rPr>
        <w:t>с</w:t>
      </w:r>
      <w:r w:rsidR="00C46A7D">
        <w:t xml:space="preserve"> </w:t>
      </w:r>
      <w:r w:rsidRPr="0057155F">
        <w:rPr>
          <w:rFonts w:hint="eastAsia"/>
        </w:rPr>
        <w:t>пунктом</w:t>
      </w:r>
      <w:r w:rsidRPr="0057155F">
        <w:t xml:space="preserve"> 26 </w:t>
      </w:r>
      <w:proofErr w:type="spellStart"/>
      <w:r w:rsidRPr="0057155F">
        <w:rPr>
          <w:rFonts w:hint="eastAsia"/>
        </w:rPr>
        <w:t>постановленияПравительстваРоссийскойФедерацииот</w:t>
      </w:r>
      <w:proofErr w:type="spellEnd"/>
      <w:r w:rsidRPr="0057155F">
        <w:t xml:space="preserve"> 03.04.2013 </w:t>
      </w:r>
      <w:r w:rsidRPr="0057155F">
        <w:rPr>
          <w:rFonts w:hint="eastAsia"/>
        </w:rPr>
        <w:t>№</w:t>
      </w:r>
      <w:r w:rsidRPr="0057155F">
        <w:t>290 «</w:t>
      </w:r>
      <w:r w:rsidRPr="0057155F">
        <w:rPr>
          <w:rFonts w:hint="eastAsia"/>
        </w:rPr>
        <w:t>О</w:t>
      </w:r>
      <w:r w:rsidR="00C46A7D">
        <w:t xml:space="preserve"> </w:t>
      </w:r>
      <w:r w:rsidRPr="0057155F">
        <w:rPr>
          <w:rFonts w:hint="eastAsia"/>
        </w:rPr>
        <w:t>минимальном</w:t>
      </w:r>
      <w:r w:rsidR="00C46A7D">
        <w:t xml:space="preserve"> </w:t>
      </w:r>
      <w:r w:rsidRPr="0057155F">
        <w:rPr>
          <w:rFonts w:hint="eastAsia"/>
        </w:rPr>
        <w:t>перечне</w:t>
      </w:r>
      <w:r w:rsidR="00C46A7D">
        <w:t xml:space="preserve"> </w:t>
      </w:r>
      <w:r w:rsidRPr="0057155F">
        <w:rPr>
          <w:rFonts w:hint="eastAsia"/>
        </w:rPr>
        <w:t>услуг</w:t>
      </w:r>
      <w:r w:rsidR="00C46A7D">
        <w:t xml:space="preserve"> </w:t>
      </w:r>
      <w:r w:rsidRPr="0057155F">
        <w:rPr>
          <w:rFonts w:hint="eastAsia"/>
        </w:rPr>
        <w:t>и</w:t>
      </w:r>
      <w:r w:rsidR="00C46A7D">
        <w:t xml:space="preserve"> </w:t>
      </w:r>
      <w:r w:rsidRPr="0057155F">
        <w:rPr>
          <w:rFonts w:hint="eastAsia"/>
        </w:rPr>
        <w:t>работ</w:t>
      </w:r>
      <w:r w:rsidRPr="0057155F">
        <w:t xml:space="preserve">, </w:t>
      </w:r>
      <w:r w:rsidRPr="0057155F">
        <w:rPr>
          <w:rFonts w:hint="eastAsia"/>
        </w:rPr>
        <w:t>необходимыхдляобеспечениянадлежащегосодержанияобщегоимуществавмногоквартирномдоме</w:t>
      </w:r>
      <w:r w:rsidR="00F118A4">
        <w:t>,</w:t>
      </w:r>
      <w:r w:rsidRPr="0057155F">
        <w:rPr>
          <w:rFonts w:hint="eastAsia"/>
        </w:rPr>
        <w:t>ипорядкеихоказанияивыполнения»управляющимикомпаниямиосуществляетсяорганизациянакоплениявсехвидовотходов</w:t>
      </w:r>
      <w:r w:rsidRPr="0057155F">
        <w:t xml:space="preserve">, </w:t>
      </w:r>
      <w:r w:rsidRPr="0057155F">
        <w:rPr>
          <w:rFonts w:hint="eastAsia"/>
        </w:rPr>
        <w:t>образующихся</w:t>
      </w:r>
      <w:r w:rsidR="006E20CA">
        <w:t xml:space="preserve"> </w:t>
      </w:r>
      <w:r w:rsidRPr="0057155F">
        <w:rPr>
          <w:rFonts w:hint="eastAsia"/>
        </w:rPr>
        <w:t>в</w:t>
      </w:r>
      <w:r w:rsidR="006E20CA">
        <w:t xml:space="preserve"> </w:t>
      </w:r>
      <w:r w:rsidRPr="0057155F">
        <w:rPr>
          <w:rFonts w:hint="eastAsia"/>
        </w:rPr>
        <w:t>жилых</w:t>
      </w:r>
      <w:r w:rsidR="006E20CA">
        <w:t xml:space="preserve"> </w:t>
      </w:r>
      <w:r w:rsidRPr="0057155F">
        <w:rPr>
          <w:rFonts w:hint="eastAsia"/>
        </w:rPr>
        <w:t>помещениях</w:t>
      </w:r>
      <w:r w:rsidRPr="0057155F">
        <w:t xml:space="preserve">. </w:t>
      </w:r>
    </w:p>
    <w:p w:rsidR="00102AC4" w:rsidRPr="0057155F" w:rsidRDefault="00102AC4" w:rsidP="00102AC4">
      <w:pPr>
        <w:ind w:firstLine="708"/>
        <w:jc w:val="both"/>
      </w:pPr>
      <w:r w:rsidRPr="0057155F">
        <w:t>В целях обеспечения населения необходимой экологической информацией на сайте органов местного самоуправления создан тематический раздел о переходе на новую систему обращения с ТКО с указанием необходимой информации актуального законодательства РФ, ХМАО-Югры и г. Нефтеюганска (Деятельность-городское хозяйство-Переход на новую систему обращения с ТКО), а также сведений об организациях, осуществляющих сбор и транспортирование различных видов твердых коммунальных отходов на территории муниципального</w:t>
      </w:r>
      <w:r w:rsidRPr="0057155F">
        <w:tab/>
        <w:t>образования</w:t>
      </w:r>
      <w:r w:rsidRPr="0057155F">
        <w:tab/>
        <w:t xml:space="preserve">город Нефтеюганск. </w:t>
      </w:r>
    </w:p>
    <w:p w:rsidR="00102AC4" w:rsidRPr="0057155F" w:rsidRDefault="00102AC4" w:rsidP="00102AC4">
      <w:pPr>
        <w:ind w:firstLine="708"/>
        <w:jc w:val="both"/>
      </w:pPr>
      <w:r w:rsidRPr="0057155F">
        <w:t xml:space="preserve">Кроме того, для организации экологического воспитания, образования и просвещения населения города, при участии специалистов отдела экологии департамента ЖКХ администрации </w:t>
      </w:r>
      <w:proofErr w:type="spellStart"/>
      <w:r w:rsidRPr="0057155F">
        <w:t>г.Нефтеюганска</w:t>
      </w:r>
      <w:proofErr w:type="spellEnd"/>
      <w:r w:rsidRPr="0057155F">
        <w:t xml:space="preserve">, подготавливаются репортажи, размещаются публикации и объявления в средствах массовой информации. </w:t>
      </w:r>
    </w:p>
    <w:p w:rsidR="0057155F" w:rsidRPr="0057155F" w:rsidRDefault="0057155F" w:rsidP="0057155F">
      <w:pPr>
        <w:ind w:firstLine="708"/>
        <w:jc w:val="both"/>
      </w:pPr>
    </w:p>
    <w:p w:rsidR="00102AC4" w:rsidRDefault="00102AC4" w:rsidP="004D7D5A">
      <w:pPr>
        <w:ind w:firstLine="708"/>
        <w:jc w:val="both"/>
      </w:pPr>
    </w:p>
    <w:p w:rsidR="00023C53" w:rsidRPr="0057155F" w:rsidRDefault="00023C53" w:rsidP="00023C53">
      <w:pPr>
        <w:suppressAutoHyphens/>
        <w:ind w:firstLine="284"/>
        <w:jc w:val="center"/>
        <w:rPr>
          <w:u w:val="single"/>
        </w:rPr>
      </w:pPr>
      <w:r w:rsidRPr="0057155F">
        <w:rPr>
          <w:u w:val="single"/>
        </w:rPr>
        <w:t>Государственной программой автономного округа «Экологическая безопасность»</w:t>
      </w:r>
      <w:r w:rsidRPr="0057155F">
        <w:rPr>
          <w:u w:val="single"/>
          <w:vertAlign w:val="superscript"/>
        </w:rPr>
        <w:footnoteReference w:id="1"/>
      </w:r>
      <w:r w:rsidRPr="0057155F">
        <w:rPr>
          <w:u w:val="single"/>
        </w:rPr>
        <w:t xml:space="preserve"> утвержден объем бюджетных ассигнований на реализацию мероприятий по рекультивации свалки твердых бытовых отходов на 8-км автодороги Нефтеюганск-Сургут</w:t>
      </w:r>
    </w:p>
    <w:p w:rsidR="007A4930" w:rsidRDefault="007A4930" w:rsidP="007A4930">
      <w:pPr>
        <w:suppressAutoHyphens/>
        <w:ind w:firstLine="284"/>
        <w:jc w:val="right"/>
        <w:rPr>
          <w:u w:val="single"/>
        </w:rPr>
      </w:pPr>
    </w:p>
    <w:p w:rsidR="00023C53" w:rsidRPr="0057155F" w:rsidRDefault="007A4930" w:rsidP="007A4930">
      <w:pPr>
        <w:suppressAutoHyphens/>
        <w:ind w:firstLine="284"/>
        <w:jc w:val="right"/>
        <w:rPr>
          <w:u w:val="single"/>
        </w:rPr>
      </w:pPr>
      <w:r>
        <w:rPr>
          <w:u w:val="single"/>
        </w:rPr>
        <w:t>Таблица 66</w:t>
      </w:r>
    </w:p>
    <w:tbl>
      <w:tblPr>
        <w:tblW w:w="9782" w:type="dxa"/>
        <w:tblInd w:w="-294" w:type="dxa"/>
        <w:tblLayout w:type="fixed"/>
        <w:tblCellMar>
          <w:left w:w="0" w:type="dxa"/>
          <w:right w:w="0" w:type="dxa"/>
        </w:tblCellMar>
        <w:tblLook w:val="04A0" w:firstRow="1" w:lastRow="0" w:firstColumn="1" w:lastColumn="0" w:noHBand="0" w:noVBand="1"/>
      </w:tblPr>
      <w:tblGrid>
        <w:gridCol w:w="1134"/>
        <w:gridCol w:w="850"/>
        <w:gridCol w:w="1134"/>
        <w:gridCol w:w="567"/>
        <w:gridCol w:w="425"/>
        <w:gridCol w:w="142"/>
        <w:gridCol w:w="567"/>
        <w:gridCol w:w="1134"/>
        <w:gridCol w:w="426"/>
        <w:gridCol w:w="1134"/>
        <w:gridCol w:w="426"/>
        <w:gridCol w:w="44"/>
        <w:gridCol w:w="1232"/>
        <w:gridCol w:w="425"/>
        <w:gridCol w:w="142"/>
      </w:tblGrid>
      <w:tr w:rsidR="00023C53" w:rsidRPr="003D2612" w:rsidTr="00DD7DC8">
        <w:trPr>
          <w:gridAfter w:val="1"/>
          <w:wAfter w:w="142" w:type="dxa"/>
          <w:trHeight w:val="375"/>
        </w:trPr>
        <w:tc>
          <w:tcPr>
            <w:tcW w:w="1134" w:type="dxa"/>
            <w:vMerge w:val="restart"/>
            <w:tcBorders>
              <w:top w:val="single" w:sz="8" w:space="0" w:color="auto"/>
              <w:left w:val="single" w:sz="8" w:space="0" w:color="auto"/>
              <w:bottom w:val="single" w:sz="8" w:space="0" w:color="000000"/>
              <w:right w:val="single" w:sz="8" w:space="0" w:color="auto"/>
            </w:tcBorders>
            <w:noWrap/>
            <w:tcMar>
              <w:top w:w="0" w:type="dxa"/>
              <w:left w:w="108" w:type="dxa"/>
              <w:bottom w:w="0" w:type="dxa"/>
              <w:right w:w="108" w:type="dxa"/>
            </w:tcMar>
            <w:vAlign w:val="center"/>
            <w:hideMark/>
          </w:tcPr>
          <w:p w:rsidR="00023C53" w:rsidRPr="003D2612" w:rsidRDefault="00023C53" w:rsidP="00DD7DC8">
            <w:pPr>
              <w:jc w:val="center"/>
              <w:rPr>
                <w:bCs/>
                <w:color w:val="000000"/>
                <w:sz w:val="20"/>
                <w:szCs w:val="20"/>
              </w:rPr>
            </w:pPr>
            <w:r w:rsidRPr="003D2612">
              <w:rPr>
                <w:bCs/>
                <w:color w:val="000000"/>
                <w:sz w:val="20"/>
                <w:szCs w:val="20"/>
              </w:rPr>
              <w:t>Наименование объекта</w:t>
            </w:r>
          </w:p>
        </w:tc>
        <w:tc>
          <w:tcPr>
            <w:tcW w:w="850" w:type="dxa"/>
            <w:vMerge w:val="restart"/>
            <w:tcBorders>
              <w:top w:val="single" w:sz="8" w:space="0" w:color="auto"/>
              <w:left w:val="nil"/>
              <w:bottom w:val="single" w:sz="8" w:space="0" w:color="000000"/>
              <w:right w:val="single" w:sz="8" w:space="0" w:color="auto"/>
            </w:tcBorders>
            <w:tcMar>
              <w:top w:w="0" w:type="dxa"/>
              <w:left w:w="108" w:type="dxa"/>
              <w:bottom w:w="0" w:type="dxa"/>
              <w:right w:w="108" w:type="dxa"/>
            </w:tcMar>
            <w:vAlign w:val="center"/>
            <w:hideMark/>
          </w:tcPr>
          <w:p w:rsidR="00023C53" w:rsidRPr="003D2612" w:rsidRDefault="00023C53" w:rsidP="00DD7DC8">
            <w:pPr>
              <w:jc w:val="center"/>
              <w:rPr>
                <w:bCs/>
                <w:sz w:val="20"/>
                <w:szCs w:val="20"/>
              </w:rPr>
            </w:pPr>
            <w:r w:rsidRPr="003D2612">
              <w:rPr>
                <w:bCs/>
                <w:sz w:val="20"/>
                <w:szCs w:val="20"/>
              </w:rPr>
              <w:t>Источники финансирования</w:t>
            </w:r>
          </w:p>
        </w:tc>
        <w:tc>
          <w:tcPr>
            <w:tcW w:w="2126" w:type="dxa"/>
            <w:gridSpan w:val="3"/>
            <w:vMerge w:val="restart"/>
            <w:tcBorders>
              <w:top w:val="single" w:sz="8" w:space="0" w:color="auto"/>
              <w:left w:val="nil"/>
              <w:bottom w:val="nil"/>
              <w:right w:val="single" w:sz="8" w:space="0" w:color="000000"/>
            </w:tcBorders>
            <w:tcMar>
              <w:top w:w="0" w:type="dxa"/>
              <w:left w:w="108" w:type="dxa"/>
              <w:bottom w:w="0" w:type="dxa"/>
              <w:right w:w="108" w:type="dxa"/>
            </w:tcMar>
            <w:vAlign w:val="center"/>
            <w:hideMark/>
          </w:tcPr>
          <w:p w:rsidR="00023C53" w:rsidRPr="003D2612" w:rsidRDefault="00023C53" w:rsidP="00DD7DC8">
            <w:pPr>
              <w:jc w:val="center"/>
              <w:rPr>
                <w:bCs/>
                <w:sz w:val="20"/>
                <w:szCs w:val="20"/>
              </w:rPr>
            </w:pPr>
            <w:r w:rsidRPr="003D2612">
              <w:rPr>
                <w:bCs/>
                <w:sz w:val="20"/>
                <w:szCs w:val="20"/>
              </w:rPr>
              <w:t>Всего</w:t>
            </w:r>
          </w:p>
        </w:tc>
        <w:tc>
          <w:tcPr>
            <w:tcW w:w="5530" w:type="dxa"/>
            <w:gridSpan w:val="9"/>
            <w:tcBorders>
              <w:top w:val="single" w:sz="8" w:space="0" w:color="auto"/>
              <w:left w:val="nil"/>
              <w:bottom w:val="nil"/>
              <w:right w:val="nil"/>
            </w:tcBorders>
            <w:tcMar>
              <w:top w:w="0" w:type="dxa"/>
              <w:left w:w="108" w:type="dxa"/>
              <w:bottom w:w="0" w:type="dxa"/>
              <w:right w:w="108" w:type="dxa"/>
            </w:tcMar>
            <w:vAlign w:val="center"/>
            <w:hideMark/>
          </w:tcPr>
          <w:p w:rsidR="00023C53" w:rsidRPr="003D2612" w:rsidRDefault="00023C53" w:rsidP="00DD7DC8">
            <w:pPr>
              <w:jc w:val="center"/>
              <w:rPr>
                <w:bCs/>
                <w:sz w:val="20"/>
                <w:szCs w:val="20"/>
              </w:rPr>
            </w:pPr>
            <w:r w:rsidRPr="003D2612">
              <w:rPr>
                <w:bCs/>
                <w:sz w:val="20"/>
                <w:szCs w:val="20"/>
              </w:rPr>
              <w:t xml:space="preserve">Объемы финансирования, в разрезе по годам, </w:t>
            </w:r>
            <w:proofErr w:type="spellStart"/>
            <w:r w:rsidRPr="003D2612">
              <w:rPr>
                <w:bCs/>
                <w:sz w:val="20"/>
                <w:szCs w:val="20"/>
              </w:rPr>
              <w:t>тыс.руб</w:t>
            </w:r>
            <w:proofErr w:type="spellEnd"/>
            <w:r w:rsidRPr="003D2612">
              <w:rPr>
                <w:bCs/>
                <w:sz w:val="20"/>
                <w:szCs w:val="20"/>
              </w:rPr>
              <w:t>.</w:t>
            </w:r>
          </w:p>
        </w:tc>
      </w:tr>
      <w:tr w:rsidR="00023C53" w:rsidRPr="003D2612" w:rsidTr="00DD7DC8">
        <w:trPr>
          <w:trHeight w:val="315"/>
        </w:trPr>
        <w:tc>
          <w:tcPr>
            <w:tcW w:w="1134" w:type="dxa"/>
            <w:vMerge/>
            <w:tcBorders>
              <w:top w:val="single" w:sz="8" w:space="0" w:color="auto"/>
              <w:left w:val="single" w:sz="8" w:space="0" w:color="auto"/>
              <w:bottom w:val="single" w:sz="8" w:space="0" w:color="000000"/>
              <w:right w:val="single" w:sz="8" w:space="0" w:color="auto"/>
            </w:tcBorders>
            <w:vAlign w:val="center"/>
            <w:hideMark/>
          </w:tcPr>
          <w:p w:rsidR="00023C53" w:rsidRPr="003D2612" w:rsidRDefault="00023C53" w:rsidP="00DD7DC8">
            <w:pPr>
              <w:rPr>
                <w:bCs/>
                <w:color w:val="000000"/>
                <w:sz w:val="20"/>
                <w:szCs w:val="20"/>
              </w:rPr>
            </w:pPr>
          </w:p>
        </w:tc>
        <w:tc>
          <w:tcPr>
            <w:tcW w:w="850" w:type="dxa"/>
            <w:vMerge/>
            <w:tcBorders>
              <w:top w:val="single" w:sz="8" w:space="0" w:color="auto"/>
              <w:left w:val="nil"/>
              <w:bottom w:val="single" w:sz="8" w:space="0" w:color="000000"/>
              <w:right w:val="single" w:sz="8" w:space="0" w:color="auto"/>
            </w:tcBorders>
            <w:vAlign w:val="center"/>
            <w:hideMark/>
          </w:tcPr>
          <w:p w:rsidR="00023C53" w:rsidRPr="003D2612" w:rsidRDefault="00023C53" w:rsidP="00DD7DC8">
            <w:pPr>
              <w:rPr>
                <w:bCs/>
                <w:sz w:val="20"/>
                <w:szCs w:val="20"/>
              </w:rPr>
            </w:pPr>
          </w:p>
        </w:tc>
        <w:tc>
          <w:tcPr>
            <w:tcW w:w="2126" w:type="dxa"/>
            <w:gridSpan w:val="3"/>
            <w:vMerge/>
            <w:tcBorders>
              <w:top w:val="single" w:sz="8" w:space="0" w:color="auto"/>
              <w:left w:val="nil"/>
              <w:bottom w:val="nil"/>
              <w:right w:val="single" w:sz="8" w:space="0" w:color="000000"/>
            </w:tcBorders>
            <w:vAlign w:val="center"/>
            <w:hideMark/>
          </w:tcPr>
          <w:p w:rsidR="00023C53" w:rsidRPr="003D2612" w:rsidRDefault="00023C53" w:rsidP="00DD7DC8">
            <w:pPr>
              <w:rPr>
                <w:bCs/>
                <w:sz w:val="20"/>
                <w:szCs w:val="20"/>
              </w:rPr>
            </w:pPr>
          </w:p>
        </w:tc>
        <w:tc>
          <w:tcPr>
            <w:tcW w:w="709" w:type="dxa"/>
            <w:gridSpan w:val="2"/>
            <w:tcBorders>
              <w:top w:val="single" w:sz="8" w:space="0" w:color="auto"/>
              <w:left w:val="nil"/>
              <w:bottom w:val="single" w:sz="8" w:space="0" w:color="auto"/>
              <w:right w:val="single" w:sz="8" w:space="0" w:color="000000"/>
            </w:tcBorders>
            <w:noWrap/>
            <w:tcMar>
              <w:top w:w="0" w:type="dxa"/>
              <w:left w:w="108" w:type="dxa"/>
              <w:bottom w:w="0" w:type="dxa"/>
              <w:right w:w="108" w:type="dxa"/>
            </w:tcMar>
            <w:vAlign w:val="center"/>
            <w:hideMark/>
          </w:tcPr>
          <w:p w:rsidR="00023C53" w:rsidRPr="003D2612" w:rsidRDefault="00023C53" w:rsidP="00DD7DC8">
            <w:pPr>
              <w:jc w:val="center"/>
              <w:rPr>
                <w:bCs/>
                <w:color w:val="000000"/>
                <w:sz w:val="20"/>
                <w:szCs w:val="20"/>
              </w:rPr>
            </w:pPr>
          </w:p>
        </w:tc>
        <w:tc>
          <w:tcPr>
            <w:tcW w:w="1134" w:type="dxa"/>
            <w:tcBorders>
              <w:top w:val="single" w:sz="8" w:space="0" w:color="auto"/>
              <w:left w:val="nil"/>
              <w:bottom w:val="single" w:sz="8" w:space="0" w:color="auto"/>
              <w:right w:val="single" w:sz="8" w:space="0" w:color="000000"/>
            </w:tcBorders>
            <w:noWrap/>
            <w:tcMar>
              <w:top w:w="0" w:type="dxa"/>
              <w:left w:w="108" w:type="dxa"/>
              <w:bottom w:w="0" w:type="dxa"/>
              <w:right w:w="108" w:type="dxa"/>
            </w:tcMar>
            <w:vAlign w:val="center"/>
            <w:hideMark/>
          </w:tcPr>
          <w:p w:rsidR="00023C53" w:rsidRPr="003D2612" w:rsidRDefault="00023C53" w:rsidP="00DD7DC8">
            <w:pPr>
              <w:jc w:val="center"/>
              <w:rPr>
                <w:bCs/>
                <w:color w:val="000000"/>
                <w:sz w:val="20"/>
                <w:szCs w:val="20"/>
              </w:rPr>
            </w:pPr>
            <w:r w:rsidRPr="003D2612">
              <w:rPr>
                <w:bCs/>
                <w:color w:val="000000"/>
                <w:sz w:val="20"/>
                <w:szCs w:val="20"/>
              </w:rPr>
              <w:t>2022 год</w:t>
            </w:r>
          </w:p>
        </w:tc>
        <w:tc>
          <w:tcPr>
            <w:tcW w:w="1986" w:type="dxa"/>
            <w:gridSpan w:val="3"/>
            <w:tcBorders>
              <w:top w:val="single" w:sz="8" w:space="0" w:color="auto"/>
              <w:left w:val="nil"/>
              <w:bottom w:val="single" w:sz="8" w:space="0" w:color="auto"/>
              <w:right w:val="single" w:sz="8" w:space="0" w:color="000000"/>
            </w:tcBorders>
            <w:noWrap/>
            <w:tcMar>
              <w:top w:w="0" w:type="dxa"/>
              <w:left w:w="108" w:type="dxa"/>
              <w:bottom w:w="0" w:type="dxa"/>
              <w:right w:w="108" w:type="dxa"/>
            </w:tcMar>
            <w:vAlign w:val="center"/>
            <w:hideMark/>
          </w:tcPr>
          <w:p w:rsidR="00023C53" w:rsidRPr="003D2612" w:rsidRDefault="00023C53" w:rsidP="00DD7DC8">
            <w:pPr>
              <w:jc w:val="center"/>
              <w:rPr>
                <w:bCs/>
                <w:color w:val="000000"/>
                <w:sz w:val="20"/>
                <w:szCs w:val="20"/>
              </w:rPr>
            </w:pPr>
            <w:r w:rsidRPr="003D2612">
              <w:rPr>
                <w:bCs/>
                <w:color w:val="000000"/>
                <w:sz w:val="20"/>
                <w:szCs w:val="20"/>
              </w:rPr>
              <w:t>2023 год</w:t>
            </w:r>
          </w:p>
        </w:tc>
        <w:tc>
          <w:tcPr>
            <w:tcW w:w="1843" w:type="dxa"/>
            <w:gridSpan w:val="4"/>
            <w:tcBorders>
              <w:top w:val="single" w:sz="8" w:space="0" w:color="auto"/>
              <w:left w:val="nil"/>
              <w:bottom w:val="single" w:sz="8" w:space="0" w:color="auto"/>
              <w:right w:val="single" w:sz="8" w:space="0" w:color="000000"/>
            </w:tcBorders>
            <w:noWrap/>
            <w:tcMar>
              <w:top w:w="0" w:type="dxa"/>
              <w:left w:w="108" w:type="dxa"/>
              <w:bottom w:w="0" w:type="dxa"/>
              <w:right w:w="108" w:type="dxa"/>
            </w:tcMar>
            <w:vAlign w:val="center"/>
            <w:hideMark/>
          </w:tcPr>
          <w:p w:rsidR="00023C53" w:rsidRPr="003D2612" w:rsidRDefault="00023C53" w:rsidP="00DD7DC8">
            <w:pPr>
              <w:ind w:right="-107"/>
              <w:jc w:val="center"/>
              <w:rPr>
                <w:bCs/>
                <w:color w:val="000000"/>
                <w:sz w:val="20"/>
                <w:szCs w:val="20"/>
              </w:rPr>
            </w:pPr>
            <w:r w:rsidRPr="003D2612">
              <w:rPr>
                <w:bCs/>
                <w:color w:val="000000"/>
                <w:sz w:val="20"/>
                <w:szCs w:val="20"/>
              </w:rPr>
              <w:t>2024 год</w:t>
            </w:r>
          </w:p>
        </w:tc>
      </w:tr>
      <w:tr w:rsidR="00023C53" w:rsidRPr="003D2612" w:rsidTr="00DD7DC8">
        <w:trPr>
          <w:trHeight w:val="315"/>
        </w:trPr>
        <w:tc>
          <w:tcPr>
            <w:tcW w:w="1134" w:type="dxa"/>
            <w:vMerge/>
            <w:tcBorders>
              <w:top w:val="single" w:sz="8" w:space="0" w:color="auto"/>
              <w:left w:val="single" w:sz="8" w:space="0" w:color="auto"/>
              <w:bottom w:val="single" w:sz="8" w:space="0" w:color="000000"/>
              <w:right w:val="single" w:sz="8" w:space="0" w:color="auto"/>
            </w:tcBorders>
            <w:vAlign w:val="center"/>
            <w:hideMark/>
          </w:tcPr>
          <w:p w:rsidR="00023C53" w:rsidRPr="003D2612" w:rsidRDefault="00023C53" w:rsidP="00DD7DC8">
            <w:pPr>
              <w:rPr>
                <w:bCs/>
                <w:color w:val="000000"/>
                <w:sz w:val="20"/>
                <w:szCs w:val="20"/>
              </w:rPr>
            </w:pPr>
          </w:p>
        </w:tc>
        <w:tc>
          <w:tcPr>
            <w:tcW w:w="850" w:type="dxa"/>
            <w:vMerge/>
            <w:tcBorders>
              <w:top w:val="single" w:sz="8" w:space="0" w:color="auto"/>
              <w:left w:val="nil"/>
              <w:bottom w:val="single" w:sz="8" w:space="0" w:color="000000"/>
              <w:right w:val="single" w:sz="8" w:space="0" w:color="auto"/>
            </w:tcBorders>
            <w:vAlign w:val="center"/>
            <w:hideMark/>
          </w:tcPr>
          <w:p w:rsidR="00023C53" w:rsidRPr="003D2612" w:rsidRDefault="00023C53" w:rsidP="00DD7DC8">
            <w:pPr>
              <w:rPr>
                <w:bCs/>
                <w:sz w:val="20"/>
                <w:szCs w:val="20"/>
              </w:rPr>
            </w:pPr>
          </w:p>
        </w:tc>
        <w:tc>
          <w:tcPr>
            <w:tcW w:w="1134"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023C53" w:rsidRPr="003D2612" w:rsidRDefault="00023C53" w:rsidP="00DD7DC8">
            <w:pPr>
              <w:ind w:left="-391" w:right="-108"/>
              <w:jc w:val="center"/>
              <w:rPr>
                <w:bCs/>
                <w:color w:val="000000"/>
                <w:sz w:val="20"/>
                <w:szCs w:val="20"/>
              </w:rPr>
            </w:pPr>
            <w:r w:rsidRPr="003D2612">
              <w:rPr>
                <w:bCs/>
                <w:color w:val="000000"/>
                <w:sz w:val="20"/>
                <w:szCs w:val="20"/>
              </w:rPr>
              <w:t>план</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023C53" w:rsidRPr="003D2612" w:rsidRDefault="00023C53" w:rsidP="00DD7DC8">
            <w:pPr>
              <w:jc w:val="center"/>
              <w:rPr>
                <w:bCs/>
                <w:color w:val="000000"/>
                <w:sz w:val="20"/>
                <w:szCs w:val="20"/>
              </w:rPr>
            </w:pPr>
            <w:r w:rsidRPr="003D2612">
              <w:rPr>
                <w:bCs/>
                <w:color w:val="000000"/>
                <w:sz w:val="20"/>
                <w:szCs w:val="20"/>
              </w:rPr>
              <w:t>факт</w:t>
            </w:r>
          </w:p>
        </w:tc>
        <w:tc>
          <w:tcPr>
            <w:tcW w:w="567" w:type="dxa"/>
            <w:gridSpan w:val="2"/>
            <w:tcBorders>
              <w:top w:val="nil"/>
              <w:left w:val="nil"/>
              <w:bottom w:val="single" w:sz="8" w:space="0" w:color="auto"/>
              <w:right w:val="single" w:sz="8" w:space="0" w:color="auto"/>
            </w:tcBorders>
            <w:shd w:val="clear" w:color="auto" w:fill="F2F2F2"/>
            <w:noWrap/>
            <w:tcMar>
              <w:top w:w="0" w:type="dxa"/>
              <w:left w:w="108" w:type="dxa"/>
              <w:bottom w:w="0" w:type="dxa"/>
              <w:right w:w="108" w:type="dxa"/>
            </w:tcMar>
            <w:vAlign w:val="center"/>
            <w:hideMark/>
          </w:tcPr>
          <w:p w:rsidR="00023C53" w:rsidRPr="003D2612" w:rsidRDefault="00023C53" w:rsidP="00DD7DC8">
            <w:pPr>
              <w:jc w:val="center"/>
              <w:rPr>
                <w:bCs/>
                <w:color w:val="000000"/>
                <w:sz w:val="20"/>
                <w:szCs w:val="20"/>
              </w:rPr>
            </w:pPr>
          </w:p>
        </w:tc>
        <w:tc>
          <w:tcPr>
            <w:tcW w:w="56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023C53" w:rsidRPr="003D2612" w:rsidRDefault="00023C53" w:rsidP="00DD7DC8">
            <w:pPr>
              <w:jc w:val="center"/>
              <w:rPr>
                <w:bCs/>
                <w:color w:val="000000"/>
                <w:sz w:val="20"/>
                <w:szCs w:val="20"/>
              </w:rPr>
            </w:pPr>
          </w:p>
        </w:tc>
        <w:tc>
          <w:tcPr>
            <w:tcW w:w="1134" w:type="dxa"/>
            <w:tcBorders>
              <w:top w:val="nil"/>
              <w:left w:val="nil"/>
              <w:bottom w:val="single" w:sz="8" w:space="0" w:color="auto"/>
              <w:right w:val="single" w:sz="8" w:space="0" w:color="auto"/>
            </w:tcBorders>
            <w:shd w:val="clear" w:color="auto" w:fill="F2F2F2"/>
            <w:noWrap/>
            <w:tcMar>
              <w:top w:w="0" w:type="dxa"/>
              <w:left w:w="108" w:type="dxa"/>
              <w:bottom w:w="0" w:type="dxa"/>
              <w:right w:w="108" w:type="dxa"/>
            </w:tcMar>
            <w:vAlign w:val="center"/>
            <w:hideMark/>
          </w:tcPr>
          <w:p w:rsidR="00023C53" w:rsidRPr="003D2612" w:rsidRDefault="00023C53" w:rsidP="00DD7DC8">
            <w:pPr>
              <w:ind w:left="-674" w:right="-392"/>
              <w:jc w:val="center"/>
              <w:rPr>
                <w:bCs/>
                <w:iCs/>
                <w:color w:val="000000"/>
                <w:sz w:val="20"/>
                <w:szCs w:val="20"/>
              </w:rPr>
            </w:pPr>
            <w:r w:rsidRPr="003D2612">
              <w:rPr>
                <w:bCs/>
                <w:iCs/>
                <w:color w:val="000000"/>
                <w:sz w:val="20"/>
                <w:szCs w:val="20"/>
              </w:rPr>
              <w:t>план</w:t>
            </w:r>
          </w:p>
        </w:tc>
        <w:tc>
          <w:tcPr>
            <w:tcW w:w="42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023C53" w:rsidRPr="003D2612" w:rsidRDefault="00023C53" w:rsidP="00DD7DC8">
            <w:pPr>
              <w:jc w:val="center"/>
              <w:rPr>
                <w:bCs/>
                <w:color w:val="000000"/>
                <w:sz w:val="20"/>
                <w:szCs w:val="20"/>
              </w:rPr>
            </w:pPr>
            <w:r w:rsidRPr="003D2612">
              <w:rPr>
                <w:bCs/>
                <w:color w:val="000000"/>
                <w:sz w:val="20"/>
                <w:szCs w:val="20"/>
              </w:rPr>
              <w:t>факт</w:t>
            </w:r>
          </w:p>
        </w:tc>
        <w:tc>
          <w:tcPr>
            <w:tcW w:w="1134" w:type="dxa"/>
            <w:tcBorders>
              <w:top w:val="nil"/>
              <w:left w:val="nil"/>
              <w:bottom w:val="single" w:sz="8" w:space="0" w:color="auto"/>
              <w:right w:val="single" w:sz="8" w:space="0" w:color="auto"/>
            </w:tcBorders>
            <w:shd w:val="clear" w:color="auto" w:fill="F2F2F2"/>
            <w:noWrap/>
            <w:tcMar>
              <w:top w:w="0" w:type="dxa"/>
              <w:left w:w="108" w:type="dxa"/>
              <w:bottom w:w="0" w:type="dxa"/>
              <w:right w:w="108" w:type="dxa"/>
            </w:tcMar>
            <w:vAlign w:val="center"/>
            <w:hideMark/>
          </w:tcPr>
          <w:p w:rsidR="00023C53" w:rsidRPr="003D2612" w:rsidRDefault="00023C53" w:rsidP="00DD7DC8">
            <w:pPr>
              <w:ind w:left="-534" w:right="-108"/>
              <w:jc w:val="center"/>
              <w:rPr>
                <w:bCs/>
                <w:iCs/>
                <w:color w:val="000000"/>
                <w:sz w:val="20"/>
                <w:szCs w:val="20"/>
              </w:rPr>
            </w:pPr>
            <w:r w:rsidRPr="003D2612">
              <w:rPr>
                <w:bCs/>
                <w:iCs/>
                <w:color w:val="000000"/>
                <w:sz w:val="20"/>
                <w:szCs w:val="20"/>
              </w:rPr>
              <w:t>план</w:t>
            </w:r>
          </w:p>
        </w:tc>
        <w:tc>
          <w:tcPr>
            <w:tcW w:w="470" w:type="dxa"/>
            <w:gridSpan w:val="2"/>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023C53" w:rsidRPr="003D2612" w:rsidRDefault="00023C53" w:rsidP="00DD7DC8">
            <w:pPr>
              <w:jc w:val="center"/>
              <w:rPr>
                <w:bCs/>
                <w:color w:val="000000"/>
                <w:sz w:val="20"/>
                <w:szCs w:val="20"/>
              </w:rPr>
            </w:pPr>
            <w:r w:rsidRPr="003D2612">
              <w:rPr>
                <w:bCs/>
                <w:color w:val="000000"/>
                <w:sz w:val="20"/>
                <w:szCs w:val="20"/>
              </w:rPr>
              <w:t>факт</w:t>
            </w:r>
          </w:p>
        </w:tc>
        <w:tc>
          <w:tcPr>
            <w:tcW w:w="1232" w:type="dxa"/>
            <w:tcBorders>
              <w:top w:val="nil"/>
              <w:left w:val="nil"/>
              <w:bottom w:val="single" w:sz="8" w:space="0" w:color="auto"/>
              <w:right w:val="single" w:sz="8" w:space="0" w:color="auto"/>
            </w:tcBorders>
            <w:shd w:val="clear" w:color="auto" w:fill="F2F2F2"/>
            <w:noWrap/>
            <w:tcMar>
              <w:top w:w="0" w:type="dxa"/>
              <w:left w:w="108" w:type="dxa"/>
              <w:bottom w:w="0" w:type="dxa"/>
              <w:right w:w="108" w:type="dxa"/>
            </w:tcMar>
            <w:vAlign w:val="center"/>
            <w:hideMark/>
          </w:tcPr>
          <w:p w:rsidR="00023C53" w:rsidRPr="003D2612" w:rsidRDefault="00023C53" w:rsidP="00DD7DC8">
            <w:pPr>
              <w:ind w:left="-1144" w:right="-675"/>
              <w:jc w:val="center"/>
              <w:rPr>
                <w:bCs/>
                <w:iCs/>
                <w:color w:val="000000"/>
                <w:sz w:val="20"/>
                <w:szCs w:val="20"/>
              </w:rPr>
            </w:pPr>
            <w:r w:rsidRPr="003D2612">
              <w:rPr>
                <w:bCs/>
                <w:iCs/>
                <w:color w:val="000000"/>
                <w:sz w:val="20"/>
                <w:szCs w:val="20"/>
              </w:rPr>
              <w:t>план</w:t>
            </w:r>
          </w:p>
        </w:tc>
        <w:tc>
          <w:tcPr>
            <w:tcW w:w="567" w:type="dxa"/>
            <w:gridSpan w:val="2"/>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023C53" w:rsidRPr="003D2612" w:rsidRDefault="00023C53" w:rsidP="00DD7DC8">
            <w:pPr>
              <w:jc w:val="center"/>
              <w:rPr>
                <w:bCs/>
                <w:color w:val="000000"/>
                <w:sz w:val="20"/>
                <w:szCs w:val="20"/>
              </w:rPr>
            </w:pPr>
            <w:r w:rsidRPr="003D2612">
              <w:rPr>
                <w:bCs/>
                <w:color w:val="000000"/>
                <w:sz w:val="20"/>
                <w:szCs w:val="20"/>
              </w:rPr>
              <w:t>факт</w:t>
            </w:r>
          </w:p>
        </w:tc>
      </w:tr>
      <w:tr w:rsidR="00023C53" w:rsidRPr="003D2612" w:rsidTr="00DD7DC8">
        <w:trPr>
          <w:trHeight w:val="315"/>
        </w:trPr>
        <w:tc>
          <w:tcPr>
            <w:tcW w:w="1134" w:type="dxa"/>
            <w:vMerge w:val="restart"/>
            <w:tcBorders>
              <w:top w:val="nil"/>
              <w:left w:val="single" w:sz="8" w:space="0" w:color="auto"/>
              <w:bottom w:val="single" w:sz="8" w:space="0" w:color="000000"/>
              <w:right w:val="single" w:sz="8" w:space="0" w:color="auto"/>
            </w:tcBorders>
            <w:tcMar>
              <w:top w:w="0" w:type="dxa"/>
              <w:left w:w="108" w:type="dxa"/>
              <w:bottom w:w="0" w:type="dxa"/>
              <w:right w:w="108" w:type="dxa"/>
            </w:tcMar>
            <w:hideMark/>
          </w:tcPr>
          <w:p w:rsidR="00023C53" w:rsidRPr="003D2612" w:rsidRDefault="00023C53" w:rsidP="00DD7DC8">
            <w:pPr>
              <w:rPr>
                <w:bCs/>
                <w:sz w:val="20"/>
                <w:szCs w:val="20"/>
              </w:rPr>
            </w:pPr>
            <w:r w:rsidRPr="003D2612">
              <w:rPr>
                <w:sz w:val="20"/>
                <w:szCs w:val="20"/>
              </w:rPr>
              <w:t>Свалка ТБО на 8 км автодорог</w:t>
            </w:r>
            <w:r w:rsidRPr="003D2612">
              <w:rPr>
                <w:sz w:val="20"/>
                <w:szCs w:val="20"/>
              </w:rPr>
              <w:lastRenderedPageBreak/>
              <w:t>и Нефтеюганск</w:t>
            </w:r>
            <w:r w:rsidRPr="003D2612">
              <w:rPr>
                <w:bCs/>
                <w:sz w:val="20"/>
                <w:szCs w:val="20"/>
              </w:rPr>
              <w:t xml:space="preserve"> (ценовая </w:t>
            </w:r>
          </w:p>
          <w:p w:rsidR="00023C53" w:rsidRPr="003D2612" w:rsidRDefault="00023C53" w:rsidP="00DD7DC8">
            <w:pPr>
              <w:rPr>
                <w:bCs/>
                <w:sz w:val="20"/>
                <w:szCs w:val="20"/>
              </w:rPr>
            </w:pPr>
            <w:r w:rsidRPr="003D2612">
              <w:rPr>
                <w:bCs/>
                <w:sz w:val="20"/>
                <w:szCs w:val="20"/>
              </w:rPr>
              <w:t xml:space="preserve">323 395,09 </w:t>
            </w:r>
            <w:proofErr w:type="spellStart"/>
            <w:r w:rsidRPr="003D2612">
              <w:rPr>
                <w:bCs/>
                <w:sz w:val="20"/>
                <w:szCs w:val="20"/>
              </w:rPr>
              <w:t>т.р</w:t>
            </w:r>
            <w:proofErr w:type="spellEnd"/>
            <w:r w:rsidRPr="003D2612">
              <w:rPr>
                <w:bCs/>
                <w:sz w:val="20"/>
                <w:szCs w:val="20"/>
              </w:rPr>
              <w:t xml:space="preserve">., без прочих </w:t>
            </w:r>
          </w:p>
          <w:p w:rsidR="00023C53" w:rsidRPr="003D2612" w:rsidRDefault="00023C53" w:rsidP="00DD7DC8">
            <w:pPr>
              <w:rPr>
                <w:sz w:val="20"/>
                <w:szCs w:val="20"/>
              </w:rPr>
            </w:pPr>
            <w:r w:rsidRPr="003D2612">
              <w:rPr>
                <w:bCs/>
                <w:sz w:val="20"/>
                <w:szCs w:val="20"/>
              </w:rPr>
              <w:t xml:space="preserve">314 878,81 </w:t>
            </w:r>
            <w:proofErr w:type="spellStart"/>
            <w:r w:rsidRPr="003D2612">
              <w:rPr>
                <w:bCs/>
                <w:sz w:val="20"/>
                <w:szCs w:val="20"/>
              </w:rPr>
              <w:t>т.р</w:t>
            </w:r>
            <w:proofErr w:type="spellEnd"/>
            <w:r w:rsidRPr="003D2612">
              <w:rPr>
                <w:bCs/>
                <w:sz w:val="20"/>
                <w:szCs w:val="20"/>
              </w:rPr>
              <w:t>.)</w:t>
            </w:r>
          </w:p>
        </w:tc>
        <w:tc>
          <w:tcPr>
            <w:tcW w:w="850"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rsidR="00023C53" w:rsidRPr="003D2612" w:rsidRDefault="00023C53" w:rsidP="00DD7DC8">
            <w:pPr>
              <w:rPr>
                <w:bCs/>
                <w:sz w:val="20"/>
                <w:szCs w:val="20"/>
              </w:rPr>
            </w:pPr>
            <w:r w:rsidRPr="003D2612">
              <w:rPr>
                <w:bCs/>
                <w:sz w:val="20"/>
                <w:szCs w:val="20"/>
              </w:rPr>
              <w:lastRenderedPageBreak/>
              <w:t>всего</w:t>
            </w:r>
          </w:p>
        </w:tc>
        <w:tc>
          <w:tcPr>
            <w:tcW w:w="1134" w:type="dxa"/>
            <w:tcBorders>
              <w:top w:val="nil"/>
              <w:left w:val="nil"/>
              <w:bottom w:val="single" w:sz="8" w:space="0" w:color="auto"/>
              <w:right w:val="single" w:sz="8" w:space="0" w:color="auto"/>
            </w:tcBorders>
            <w:shd w:val="clear" w:color="auto" w:fill="F2F2F2"/>
            <w:noWrap/>
            <w:tcMar>
              <w:top w:w="0" w:type="dxa"/>
              <w:left w:w="108" w:type="dxa"/>
              <w:bottom w:w="0" w:type="dxa"/>
              <w:right w:w="108" w:type="dxa"/>
            </w:tcMar>
            <w:vAlign w:val="center"/>
            <w:hideMark/>
          </w:tcPr>
          <w:p w:rsidR="00023C53" w:rsidRPr="003D2612" w:rsidRDefault="00023C53" w:rsidP="00DD7DC8">
            <w:pPr>
              <w:ind w:left="-391" w:right="-108"/>
              <w:jc w:val="center"/>
              <w:rPr>
                <w:color w:val="000000"/>
                <w:sz w:val="20"/>
                <w:szCs w:val="20"/>
              </w:rPr>
            </w:pPr>
            <w:r w:rsidRPr="003D2612">
              <w:rPr>
                <w:color w:val="000000"/>
                <w:sz w:val="20"/>
                <w:szCs w:val="20"/>
              </w:rPr>
              <w:t xml:space="preserve">     314 878,81   </w:t>
            </w:r>
          </w:p>
        </w:tc>
        <w:tc>
          <w:tcPr>
            <w:tcW w:w="567" w:type="dxa"/>
            <w:tcBorders>
              <w:top w:val="nil"/>
              <w:left w:val="nil"/>
              <w:bottom w:val="single" w:sz="8" w:space="0" w:color="auto"/>
              <w:right w:val="single" w:sz="8" w:space="0" w:color="auto"/>
            </w:tcBorders>
            <w:shd w:val="clear" w:color="auto" w:fill="F2F2F2"/>
            <w:noWrap/>
            <w:tcMar>
              <w:top w:w="0" w:type="dxa"/>
              <w:left w:w="108" w:type="dxa"/>
              <w:bottom w:w="0" w:type="dxa"/>
              <w:right w:w="108" w:type="dxa"/>
            </w:tcMar>
            <w:vAlign w:val="center"/>
            <w:hideMark/>
          </w:tcPr>
          <w:p w:rsidR="00023C53" w:rsidRPr="003D2612" w:rsidRDefault="00023C53" w:rsidP="00DD7DC8">
            <w:pPr>
              <w:jc w:val="center"/>
              <w:rPr>
                <w:color w:val="000000"/>
                <w:sz w:val="20"/>
                <w:szCs w:val="20"/>
              </w:rPr>
            </w:pPr>
            <w:r w:rsidRPr="003D2612">
              <w:rPr>
                <w:color w:val="000000"/>
                <w:sz w:val="20"/>
                <w:szCs w:val="20"/>
              </w:rPr>
              <w:t xml:space="preserve">                    -     </w:t>
            </w:r>
          </w:p>
        </w:tc>
        <w:tc>
          <w:tcPr>
            <w:tcW w:w="567" w:type="dxa"/>
            <w:gridSpan w:val="2"/>
            <w:tcBorders>
              <w:top w:val="nil"/>
              <w:left w:val="nil"/>
              <w:bottom w:val="single" w:sz="8" w:space="0" w:color="auto"/>
              <w:right w:val="single" w:sz="8" w:space="0" w:color="auto"/>
            </w:tcBorders>
            <w:shd w:val="clear" w:color="auto" w:fill="F2F2F2"/>
            <w:noWrap/>
            <w:tcMar>
              <w:top w:w="0" w:type="dxa"/>
              <w:left w:w="108" w:type="dxa"/>
              <w:bottom w:w="0" w:type="dxa"/>
              <w:right w:w="108" w:type="dxa"/>
            </w:tcMar>
            <w:vAlign w:val="center"/>
            <w:hideMark/>
          </w:tcPr>
          <w:p w:rsidR="00023C53" w:rsidRPr="003D2612" w:rsidRDefault="00023C53" w:rsidP="00DD7DC8">
            <w:pPr>
              <w:jc w:val="center"/>
              <w:rPr>
                <w:color w:val="000000"/>
                <w:sz w:val="20"/>
                <w:szCs w:val="20"/>
              </w:rPr>
            </w:pPr>
            <w:r w:rsidRPr="003D2612">
              <w:rPr>
                <w:color w:val="000000"/>
                <w:sz w:val="20"/>
                <w:szCs w:val="20"/>
              </w:rPr>
              <w:t xml:space="preserve">                      -     </w:t>
            </w:r>
          </w:p>
        </w:tc>
        <w:tc>
          <w:tcPr>
            <w:tcW w:w="567" w:type="dxa"/>
            <w:tcBorders>
              <w:top w:val="nil"/>
              <w:left w:val="nil"/>
              <w:bottom w:val="single" w:sz="8" w:space="0" w:color="auto"/>
              <w:right w:val="single" w:sz="8" w:space="0" w:color="auto"/>
            </w:tcBorders>
            <w:shd w:val="clear" w:color="auto" w:fill="F2F2F2"/>
            <w:noWrap/>
            <w:tcMar>
              <w:top w:w="0" w:type="dxa"/>
              <w:left w:w="108" w:type="dxa"/>
              <w:bottom w:w="0" w:type="dxa"/>
              <w:right w:w="108" w:type="dxa"/>
            </w:tcMar>
            <w:vAlign w:val="center"/>
            <w:hideMark/>
          </w:tcPr>
          <w:p w:rsidR="00023C53" w:rsidRPr="003D2612" w:rsidRDefault="00023C53" w:rsidP="00DD7DC8">
            <w:pPr>
              <w:jc w:val="center"/>
              <w:rPr>
                <w:color w:val="000000"/>
                <w:sz w:val="20"/>
                <w:szCs w:val="20"/>
              </w:rPr>
            </w:pPr>
            <w:r w:rsidRPr="003D2612">
              <w:rPr>
                <w:color w:val="000000"/>
                <w:sz w:val="20"/>
                <w:szCs w:val="20"/>
              </w:rPr>
              <w:t xml:space="preserve">            -     </w:t>
            </w:r>
          </w:p>
        </w:tc>
        <w:tc>
          <w:tcPr>
            <w:tcW w:w="1134" w:type="dxa"/>
            <w:tcBorders>
              <w:top w:val="nil"/>
              <w:left w:val="nil"/>
              <w:bottom w:val="single" w:sz="8" w:space="0" w:color="auto"/>
              <w:right w:val="single" w:sz="8" w:space="0" w:color="auto"/>
            </w:tcBorders>
            <w:shd w:val="clear" w:color="auto" w:fill="F2F2F2"/>
            <w:noWrap/>
            <w:tcMar>
              <w:top w:w="0" w:type="dxa"/>
              <w:left w:w="108" w:type="dxa"/>
              <w:bottom w:w="0" w:type="dxa"/>
              <w:right w:w="108" w:type="dxa"/>
            </w:tcMar>
            <w:vAlign w:val="center"/>
            <w:hideMark/>
          </w:tcPr>
          <w:p w:rsidR="00023C53" w:rsidRPr="003D2612" w:rsidRDefault="00023C53" w:rsidP="00DD7DC8">
            <w:pPr>
              <w:ind w:left="-674" w:right="-392"/>
              <w:jc w:val="center"/>
              <w:rPr>
                <w:iCs/>
                <w:color w:val="000000"/>
                <w:sz w:val="20"/>
                <w:szCs w:val="20"/>
              </w:rPr>
            </w:pPr>
            <w:r w:rsidRPr="003D2612">
              <w:rPr>
                <w:iCs/>
                <w:color w:val="000000"/>
                <w:sz w:val="20"/>
                <w:szCs w:val="20"/>
              </w:rPr>
              <w:t xml:space="preserve">       124 670,60   </w:t>
            </w:r>
          </w:p>
        </w:tc>
        <w:tc>
          <w:tcPr>
            <w:tcW w:w="426" w:type="dxa"/>
            <w:tcBorders>
              <w:top w:val="nil"/>
              <w:left w:val="nil"/>
              <w:bottom w:val="single" w:sz="8" w:space="0" w:color="auto"/>
              <w:right w:val="single" w:sz="8" w:space="0" w:color="auto"/>
            </w:tcBorders>
            <w:shd w:val="clear" w:color="auto" w:fill="F2F2F2"/>
            <w:noWrap/>
            <w:tcMar>
              <w:top w:w="0" w:type="dxa"/>
              <w:left w:w="108" w:type="dxa"/>
              <w:bottom w:w="0" w:type="dxa"/>
              <w:right w:w="108" w:type="dxa"/>
            </w:tcMar>
            <w:vAlign w:val="center"/>
            <w:hideMark/>
          </w:tcPr>
          <w:p w:rsidR="00023C53" w:rsidRPr="003D2612" w:rsidRDefault="00023C53" w:rsidP="00DD7DC8">
            <w:pPr>
              <w:jc w:val="center"/>
              <w:rPr>
                <w:color w:val="000000"/>
                <w:sz w:val="20"/>
                <w:szCs w:val="20"/>
              </w:rPr>
            </w:pPr>
            <w:r w:rsidRPr="003D2612">
              <w:rPr>
                <w:color w:val="000000"/>
                <w:sz w:val="20"/>
                <w:szCs w:val="20"/>
              </w:rPr>
              <w:t>            -</w:t>
            </w:r>
            <w:r w:rsidRPr="003D2612">
              <w:rPr>
                <w:color w:val="000000"/>
                <w:sz w:val="20"/>
                <w:szCs w:val="20"/>
              </w:rPr>
              <w:lastRenderedPageBreak/>
              <w:t xml:space="preserve">     </w:t>
            </w:r>
          </w:p>
        </w:tc>
        <w:tc>
          <w:tcPr>
            <w:tcW w:w="1134" w:type="dxa"/>
            <w:tcBorders>
              <w:top w:val="nil"/>
              <w:left w:val="nil"/>
              <w:bottom w:val="single" w:sz="8" w:space="0" w:color="auto"/>
              <w:right w:val="single" w:sz="8" w:space="0" w:color="auto"/>
            </w:tcBorders>
            <w:shd w:val="clear" w:color="auto" w:fill="F2F2F2"/>
            <w:noWrap/>
            <w:tcMar>
              <w:top w:w="0" w:type="dxa"/>
              <w:left w:w="108" w:type="dxa"/>
              <w:bottom w:w="0" w:type="dxa"/>
              <w:right w:w="108" w:type="dxa"/>
            </w:tcMar>
            <w:vAlign w:val="center"/>
            <w:hideMark/>
          </w:tcPr>
          <w:p w:rsidR="00023C53" w:rsidRPr="003D2612" w:rsidRDefault="00023C53" w:rsidP="00DD7DC8">
            <w:pPr>
              <w:ind w:left="-534" w:right="-108"/>
              <w:jc w:val="center"/>
              <w:rPr>
                <w:iCs/>
                <w:color w:val="000000"/>
                <w:sz w:val="20"/>
                <w:szCs w:val="20"/>
              </w:rPr>
            </w:pPr>
            <w:r w:rsidRPr="003D2612">
              <w:rPr>
                <w:iCs/>
                <w:color w:val="000000"/>
                <w:sz w:val="20"/>
                <w:szCs w:val="20"/>
              </w:rPr>
              <w:lastRenderedPageBreak/>
              <w:t xml:space="preserve">       154 923,20   </w:t>
            </w:r>
          </w:p>
        </w:tc>
        <w:tc>
          <w:tcPr>
            <w:tcW w:w="470" w:type="dxa"/>
            <w:gridSpan w:val="2"/>
            <w:tcBorders>
              <w:top w:val="nil"/>
              <w:left w:val="nil"/>
              <w:bottom w:val="single" w:sz="8" w:space="0" w:color="auto"/>
              <w:right w:val="single" w:sz="8" w:space="0" w:color="auto"/>
            </w:tcBorders>
            <w:shd w:val="clear" w:color="auto" w:fill="F2F2F2"/>
            <w:noWrap/>
            <w:tcMar>
              <w:top w:w="0" w:type="dxa"/>
              <w:left w:w="108" w:type="dxa"/>
              <w:bottom w:w="0" w:type="dxa"/>
              <w:right w:w="108" w:type="dxa"/>
            </w:tcMar>
            <w:vAlign w:val="center"/>
            <w:hideMark/>
          </w:tcPr>
          <w:p w:rsidR="00023C53" w:rsidRPr="003D2612" w:rsidRDefault="00023C53" w:rsidP="00DD7DC8">
            <w:pPr>
              <w:jc w:val="center"/>
              <w:rPr>
                <w:color w:val="000000"/>
                <w:sz w:val="20"/>
                <w:szCs w:val="20"/>
              </w:rPr>
            </w:pPr>
            <w:r w:rsidRPr="003D2612">
              <w:rPr>
                <w:color w:val="000000"/>
                <w:sz w:val="20"/>
                <w:szCs w:val="20"/>
              </w:rPr>
              <w:t xml:space="preserve">            -     </w:t>
            </w:r>
          </w:p>
        </w:tc>
        <w:tc>
          <w:tcPr>
            <w:tcW w:w="1232" w:type="dxa"/>
            <w:tcBorders>
              <w:top w:val="nil"/>
              <w:left w:val="nil"/>
              <w:bottom w:val="single" w:sz="8" w:space="0" w:color="auto"/>
              <w:right w:val="single" w:sz="8" w:space="0" w:color="auto"/>
            </w:tcBorders>
            <w:shd w:val="clear" w:color="auto" w:fill="F2F2F2"/>
            <w:noWrap/>
            <w:tcMar>
              <w:top w:w="0" w:type="dxa"/>
              <w:left w:w="108" w:type="dxa"/>
              <w:bottom w:w="0" w:type="dxa"/>
              <w:right w:w="108" w:type="dxa"/>
            </w:tcMar>
            <w:vAlign w:val="center"/>
            <w:hideMark/>
          </w:tcPr>
          <w:p w:rsidR="00023C53" w:rsidRPr="003D2612" w:rsidRDefault="00023C53" w:rsidP="00DD7DC8">
            <w:pPr>
              <w:ind w:left="-1144" w:right="-675"/>
              <w:jc w:val="center"/>
              <w:rPr>
                <w:iCs/>
                <w:color w:val="000000"/>
                <w:sz w:val="20"/>
                <w:szCs w:val="20"/>
              </w:rPr>
            </w:pPr>
            <w:r w:rsidRPr="003D2612">
              <w:rPr>
                <w:iCs/>
                <w:color w:val="000000"/>
                <w:sz w:val="20"/>
                <w:szCs w:val="20"/>
              </w:rPr>
              <w:t xml:space="preserve">        35 285,01   </w:t>
            </w:r>
          </w:p>
        </w:tc>
        <w:tc>
          <w:tcPr>
            <w:tcW w:w="567" w:type="dxa"/>
            <w:gridSpan w:val="2"/>
            <w:tcBorders>
              <w:top w:val="nil"/>
              <w:left w:val="nil"/>
              <w:bottom w:val="single" w:sz="8" w:space="0" w:color="auto"/>
              <w:right w:val="single" w:sz="8" w:space="0" w:color="auto"/>
            </w:tcBorders>
            <w:shd w:val="clear" w:color="auto" w:fill="F2F2F2"/>
            <w:noWrap/>
            <w:tcMar>
              <w:top w:w="0" w:type="dxa"/>
              <w:left w:w="108" w:type="dxa"/>
              <w:bottom w:w="0" w:type="dxa"/>
              <w:right w:w="108" w:type="dxa"/>
            </w:tcMar>
            <w:vAlign w:val="center"/>
            <w:hideMark/>
          </w:tcPr>
          <w:p w:rsidR="00023C53" w:rsidRPr="003D2612" w:rsidRDefault="00023C53" w:rsidP="00DD7DC8">
            <w:pPr>
              <w:jc w:val="center"/>
              <w:rPr>
                <w:color w:val="000000"/>
                <w:sz w:val="20"/>
                <w:szCs w:val="20"/>
              </w:rPr>
            </w:pPr>
            <w:r w:rsidRPr="003D2612">
              <w:rPr>
                <w:color w:val="000000"/>
                <w:sz w:val="20"/>
                <w:szCs w:val="20"/>
              </w:rPr>
              <w:t xml:space="preserve">            -     </w:t>
            </w:r>
          </w:p>
        </w:tc>
      </w:tr>
      <w:tr w:rsidR="00023C53" w:rsidRPr="003D2612" w:rsidTr="00DD7DC8">
        <w:trPr>
          <w:trHeight w:val="405"/>
        </w:trPr>
        <w:tc>
          <w:tcPr>
            <w:tcW w:w="1134" w:type="dxa"/>
            <w:vMerge/>
            <w:tcBorders>
              <w:top w:val="nil"/>
              <w:left w:val="single" w:sz="8" w:space="0" w:color="auto"/>
              <w:bottom w:val="single" w:sz="8" w:space="0" w:color="000000"/>
              <w:right w:val="single" w:sz="8" w:space="0" w:color="auto"/>
            </w:tcBorders>
            <w:vAlign w:val="center"/>
            <w:hideMark/>
          </w:tcPr>
          <w:p w:rsidR="00023C53" w:rsidRPr="003D2612" w:rsidRDefault="00023C53" w:rsidP="00DD7DC8">
            <w:pPr>
              <w:rPr>
                <w:sz w:val="20"/>
                <w:szCs w:val="20"/>
              </w:rPr>
            </w:pPr>
          </w:p>
        </w:tc>
        <w:tc>
          <w:tcPr>
            <w:tcW w:w="850" w:type="dxa"/>
            <w:tcBorders>
              <w:top w:val="nil"/>
              <w:left w:val="nil"/>
              <w:bottom w:val="single" w:sz="8" w:space="0" w:color="auto"/>
              <w:right w:val="single" w:sz="8" w:space="0" w:color="auto"/>
            </w:tcBorders>
            <w:tcMar>
              <w:top w:w="0" w:type="dxa"/>
              <w:left w:w="108" w:type="dxa"/>
              <w:bottom w:w="0" w:type="dxa"/>
              <w:right w:w="108" w:type="dxa"/>
            </w:tcMar>
            <w:hideMark/>
          </w:tcPr>
          <w:p w:rsidR="00023C53" w:rsidRPr="003D2612" w:rsidRDefault="00023C53" w:rsidP="00DD7DC8">
            <w:pPr>
              <w:rPr>
                <w:sz w:val="20"/>
                <w:szCs w:val="20"/>
              </w:rPr>
            </w:pPr>
            <w:r w:rsidRPr="003D2612">
              <w:rPr>
                <w:sz w:val="20"/>
                <w:szCs w:val="20"/>
              </w:rPr>
              <w:t>федеральный бюджет</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023C53" w:rsidRPr="003D2612" w:rsidRDefault="00023C53" w:rsidP="00DD7DC8">
            <w:pPr>
              <w:ind w:left="-391" w:right="-108"/>
              <w:jc w:val="center"/>
              <w:rPr>
                <w:color w:val="000000"/>
                <w:sz w:val="20"/>
                <w:szCs w:val="20"/>
              </w:rPr>
            </w:pPr>
            <w:r w:rsidRPr="003D2612">
              <w:rPr>
                <w:color w:val="000000"/>
                <w:sz w:val="20"/>
                <w:szCs w:val="20"/>
              </w:rPr>
              <w:t xml:space="preserve">       70 847,50   </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023C53" w:rsidRPr="003D2612" w:rsidRDefault="00023C53" w:rsidP="00DD7DC8">
            <w:pPr>
              <w:jc w:val="center"/>
              <w:rPr>
                <w:color w:val="000000"/>
                <w:sz w:val="20"/>
                <w:szCs w:val="20"/>
              </w:rPr>
            </w:pPr>
            <w:r w:rsidRPr="003D2612">
              <w:rPr>
                <w:color w:val="000000"/>
                <w:sz w:val="20"/>
                <w:szCs w:val="20"/>
              </w:rPr>
              <w:t xml:space="preserve">                    -     </w:t>
            </w:r>
          </w:p>
        </w:tc>
        <w:tc>
          <w:tcPr>
            <w:tcW w:w="567" w:type="dxa"/>
            <w:gridSpan w:val="2"/>
            <w:tcBorders>
              <w:top w:val="nil"/>
              <w:left w:val="nil"/>
              <w:bottom w:val="single" w:sz="8" w:space="0" w:color="auto"/>
              <w:right w:val="single" w:sz="8" w:space="0" w:color="auto"/>
            </w:tcBorders>
            <w:shd w:val="clear" w:color="auto" w:fill="F2F2F2"/>
            <w:noWrap/>
            <w:tcMar>
              <w:top w:w="0" w:type="dxa"/>
              <w:left w:w="108" w:type="dxa"/>
              <w:bottom w:w="0" w:type="dxa"/>
              <w:right w:w="108" w:type="dxa"/>
            </w:tcMar>
            <w:vAlign w:val="center"/>
            <w:hideMark/>
          </w:tcPr>
          <w:p w:rsidR="00023C53" w:rsidRPr="003D2612" w:rsidRDefault="00023C53" w:rsidP="00DD7DC8">
            <w:pPr>
              <w:jc w:val="center"/>
              <w:rPr>
                <w:color w:val="000000"/>
                <w:sz w:val="20"/>
                <w:szCs w:val="20"/>
              </w:rPr>
            </w:pPr>
            <w:r w:rsidRPr="003D2612">
              <w:rPr>
                <w:color w:val="000000"/>
                <w:sz w:val="20"/>
                <w:szCs w:val="20"/>
              </w:rPr>
              <w:t> </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023C53" w:rsidRPr="003D2612" w:rsidRDefault="00023C53" w:rsidP="00DD7DC8">
            <w:pPr>
              <w:jc w:val="center"/>
              <w:rPr>
                <w:color w:val="000000"/>
                <w:sz w:val="20"/>
                <w:szCs w:val="20"/>
              </w:rPr>
            </w:pPr>
            <w:r w:rsidRPr="003D2612">
              <w:rPr>
                <w:color w:val="000000"/>
                <w:sz w:val="20"/>
                <w:szCs w:val="20"/>
              </w:rPr>
              <w:t> </w:t>
            </w:r>
          </w:p>
        </w:tc>
        <w:tc>
          <w:tcPr>
            <w:tcW w:w="1134" w:type="dxa"/>
            <w:tcBorders>
              <w:top w:val="nil"/>
              <w:left w:val="nil"/>
              <w:bottom w:val="single" w:sz="8" w:space="0" w:color="auto"/>
              <w:right w:val="single" w:sz="8" w:space="0" w:color="auto"/>
            </w:tcBorders>
            <w:shd w:val="clear" w:color="auto" w:fill="F2F2F2"/>
            <w:noWrap/>
            <w:tcMar>
              <w:top w:w="0" w:type="dxa"/>
              <w:left w:w="108" w:type="dxa"/>
              <w:bottom w:w="0" w:type="dxa"/>
              <w:right w:w="108" w:type="dxa"/>
            </w:tcMar>
            <w:vAlign w:val="center"/>
            <w:hideMark/>
          </w:tcPr>
          <w:p w:rsidR="00023C53" w:rsidRPr="003D2612" w:rsidRDefault="00023C53" w:rsidP="00DD7DC8">
            <w:pPr>
              <w:ind w:left="-674" w:right="-392"/>
              <w:jc w:val="center"/>
              <w:rPr>
                <w:iCs/>
                <w:color w:val="000000"/>
                <w:sz w:val="20"/>
                <w:szCs w:val="20"/>
              </w:rPr>
            </w:pPr>
            <w:r w:rsidRPr="003D2612">
              <w:rPr>
                <w:iCs/>
                <w:color w:val="000000"/>
                <w:sz w:val="20"/>
                <w:szCs w:val="20"/>
              </w:rPr>
              <w:t xml:space="preserve">         28 050,80   </w:t>
            </w:r>
          </w:p>
        </w:tc>
        <w:tc>
          <w:tcPr>
            <w:tcW w:w="42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023C53" w:rsidRPr="003D2612" w:rsidRDefault="00023C53" w:rsidP="00DD7DC8">
            <w:pPr>
              <w:jc w:val="center"/>
              <w:rPr>
                <w:color w:val="000000"/>
                <w:sz w:val="20"/>
                <w:szCs w:val="20"/>
              </w:rPr>
            </w:pPr>
            <w:r w:rsidRPr="003D2612">
              <w:rPr>
                <w:color w:val="000000"/>
                <w:sz w:val="20"/>
                <w:szCs w:val="20"/>
              </w:rPr>
              <w:t> </w:t>
            </w:r>
          </w:p>
        </w:tc>
        <w:tc>
          <w:tcPr>
            <w:tcW w:w="1134" w:type="dxa"/>
            <w:tcBorders>
              <w:top w:val="nil"/>
              <w:left w:val="nil"/>
              <w:bottom w:val="single" w:sz="8" w:space="0" w:color="auto"/>
              <w:right w:val="single" w:sz="8" w:space="0" w:color="auto"/>
            </w:tcBorders>
            <w:shd w:val="clear" w:color="auto" w:fill="F2F2F2"/>
            <w:noWrap/>
            <w:tcMar>
              <w:top w:w="0" w:type="dxa"/>
              <w:left w:w="108" w:type="dxa"/>
              <w:bottom w:w="0" w:type="dxa"/>
              <w:right w:w="108" w:type="dxa"/>
            </w:tcMar>
            <w:vAlign w:val="center"/>
            <w:hideMark/>
          </w:tcPr>
          <w:p w:rsidR="00023C53" w:rsidRPr="003D2612" w:rsidRDefault="00023C53" w:rsidP="00DD7DC8">
            <w:pPr>
              <w:ind w:left="-534" w:right="-108"/>
              <w:jc w:val="center"/>
              <w:rPr>
                <w:iCs/>
                <w:color w:val="000000"/>
                <w:sz w:val="20"/>
                <w:szCs w:val="20"/>
              </w:rPr>
            </w:pPr>
            <w:r w:rsidRPr="003D2612">
              <w:rPr>
                <w:iCs/>
                <w:color w:val="000000"/>
                <w:sz w:val="20"/>
                <w:szCs w:val="20"/>
              </w:rPr>
              <w:t xml:space="preserve">         34 857,60   </w:t>
            </w:r>
          </w:p>
        </w:tc>
        <w:tc>
          <w:tcPr>
            <w:tcW w:w="470" w:type="dxa"/>
            <w:gridSpan w:val="2"/>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023C53" w:rsidRPr="003D2612" w:rsidRDefault="00023C53" w:rsidP="00DD7DC8">
            <w:pPr>
              <w:jc w:val="center"/>
              <w:rPr>
                <w:color w:val="000000"/>
                <w:sz w:val="20"/>
                <w:szCs w:val="20"/>
              </w:rPr>
            </w:pPr>
            <w:r w:rsidRPr="003D2612">
              <w:rPr>
                <w:color w:val="000000"/>
                <w:sz w:val="20"/>
                <w:szCs w:val="20"/>
              </w:rPr>
              <w:t> </w:t>
            </w:r>
          </w:p>
        </w:tc>
        <w:tc>
          <w:tcPr>
            <w:tcW w:w="1232" w:type="dxa"/>
            <w:tcBorders>
              <w:top w:val="nil"/>
              <w:left w:val="nil"/>
              <w:bottom w:val="single" w:sz="8" w:space="0" w:color="auto"/>
              <w:right w:val="single" w:sz="8" w:space="0" w:color="auto"/>
            </w:tcBorders>
            <w:shd w:val="clear" w:color="auto" w:fill="F2F2F2"/>
            <w:noWrap/>
            <w:tcMar>
              <w:top w:w="0" w:type="dxa"/>
              <w:left w:w="108" w:type="dxa"/>
              <w:bottom w:w="0" w:type="dxa"/>
              <w:right w:w="108" w:type="dxa"/>
            </w:tcMar>
            <w:vAlign w:val="center"/>
            <w:hideMark/>
          </w:tcPr>
          <w:p w:rsidR="00023C53" w:rsidRPr="003D2612" w:rsidRDefault="00023C53" w:rsidP="00DD7DC8">
            <w:pPr>
              <w:ind w:left="-1144" w:right="-675"/>
              <w:jc w:val="center"/>
              <w:rPr>
                <w:iCs/>
                <w:color w:val="000000"/>
                <w:sz w:val="20"/>
                <w:szCs w:val="20"/>
              </w:rPr>
            </w:pPr>
            <w:r w:rsidRPr="003D2612">
              <w:rPr>
                <w:iCs/>
                <w:color w:val="000000"/>
                <w:sz w:val="20"/>
                <w:szCs w:val="20"/>
              </w:rPr>
              <w:t xml:space="preserve">          7 939,10   </w:t>
            </w:r>
          </w:p>
        </w:tc>
        <w:tc>
          <w:tcPr>
            <w:tcW w:w="567" w:type="dxa"/>
            <w:gridSpan w:val="2"/>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023C53" w:rsidRPr="003D2612" w:rsidRDefault="00023C53" w:rsidP="00DD7DC8">
            <w:pPr>
              <w:jc w:val="center"/>
              <w:rPr>
                <w:color w:val="000000"/>
                <w:sz w:val="20"/>
                <w:szCs w:val="20"/>
              </w:rPr>
            </w:pPr>
            <w:r w:rsidRPr="003D2612">
              <w:rPr>
                <w:color w:val="000000"/>
                <w:sz w:val="20"/>
                <w:szCs w:val="20"/>
              </w:rPr>
              <w:t> </w:t>
            </w:r>
          </w:p>
        </w:tc>
      </w:tr>
      <w:tr w:rsidR="00023C53" w:rsidRPr="003D2612" w:rsidTr="00DD7DC8">
        <w:trPr>
          <w:trHeight w:val="630"/>
        </w:trPr>
        <w:tc>
          <w:tcPr>
            <w:tcW w:w="1134" w:type="dxa"/>
            <w:vMerge/>
            <w:tcBorders>
              <w:top w:val="nil"/>
              <w:left w:val="single" w:sz="8" w:space="0" w:color="auto"/>
              <w:bottom w:val="single" w:sz="8" w:space="0" w:color="000000"/>
              <w:right w:val="single" w:sz="8" w:space="0" w:color="auto"/>
            </w:tcBorders>
            <w:vAlign w:val="center"/>
            <w:hideMark/>
          </w:tcPr>
          <w:p w:rsidR="00023C53" w:rsidRPr="003D2612" w:rsidRDefault="00023C53" w:rsidP="00DD7DC8">
            <w:pPr>
              <w:rPr>
                <w:sz w:val="20"/>
                <w:szCs w:val="20"/>
              </w:rPr>
            </w:pPr>
          </w:p>
        </w:tc>
        <w:tc>
          <w:tcPr>
            <w:tcW w:w="850" w:type="dxa"/>
            <w:tcBorders>
              <w:top w:val="nil"/>
              <w:left w:val="nil"/>
              <w:bottom w:val="single" w:sz="8" w:space="0" w:color="auto"/>
              <w:right w:val="single" w:sz="8" w:space="0" w:color="auto"/>
            </w:tcBorders>
            <w:tcMar>
              <w:top w:w="0" w:type="dxa"/>
              <w:left w:w="108" w:type="dxa"/>
              <w:bottom w:w="0" w:type="dxa"/>
              <w:right w:w="108" w:type="dxa"/>
            </w:tcMar>
            <w:hideMark/>
          </w:tcPr>
          <w:p w:rsidR="00023C53" w:rsidRPr="003D2612" w:rsidRDefault="00023C53" w:rsidP="00DD7DC8">
            <w:pPr>
              <w:rPr>
                <w:sz w:val="20"/>
                <w:szCs w:val="20"/>
              </w:rPr>
            </w:pPr>
            <w:r w:rsidRPr="003D2612">
              <w:rPr>
                <w:sz w:val="20"/>
                <w:szCs w:val="20"/>
              </w:rPr>
              <w:t>бюджет автономного округа</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023C53" w:rsidRPr="003D2612" w:rsidRDefault="00023C53" w:rsidP="00DD7DC8">
            <w:pPr>
              <w:ind w:left="-391" w:right="-108"/>
              <w:jc w:val="center"/>
              <w:rPr>
                <w:color w:val="000000"/>
                <w:sz w:val="20"/>
                <w:szCs w:val="20"/>
              </w:rPr>
            </w:pPr>
            <w:r w:rsidRPr="003D2612">
              <w:rPr>
                <w:color w:val="000000"/>
                <w:sz w:val="20"/>
                <w:szCs w:val="20"/>
              </w:rPr>
              <w:t xml:space="preserve">       86 592,10   </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023C53" w:rsidRPr="003D2612" w:rsidRDefault="00023C53" w:rsidP="00DD7DC8">
            <w:pPr>
              <w:jc w:val="center"/>
              <w:rPr>
                <w:color w:val="000000"/>
                <w:sz w:val="20"/>
                <w:szCs w:val="20"/>
              </w:rPr>
            </w:pPr>
            <w:r w:rsidRPr="003D2612">
              <w:rPr>
                <w:color w:val="000000"/>
                <w:sz w:val="20"/>
                <w:szCs w:val="20"/>
              </w:rPr>
              <w:t xml:space="preserve">                    -     </w:t>
            </w:r>
          </w:p>
        </w:tc>
        <w:tc>
          <w:tcPr>
            <w:tcW w:w="567" w:type="dxa"/>
            <w:gridSpan w:val="2"/>
            <w:tcBorders>
              <w:top w:val="nil"/>
              <w:left w:val="nil"/>
              <w:bottom w:val="single" w:sz="8" w:space="0" w:color="auto"/>
              <w:right w:val="single" w:sz="8" w:space="0" w:color="auto"/>
            </w:tcBorders>
            <w:shd w:val="clear" w:color="auto" w:fill="F2F2F2"/>
            <w:noWrap/>
            <w:tcMar>
              <w:top w:w="0" w:type="dxa"/>
              <w:left w:w="108" w:type="dxa"/>
              <w:bottom w:w="0" w:type="dxa"/>
              <w:right w:w="108" w:type="dxa"/>
            </w:tcMar>
            <w:vAlign w:val="center"/>
            <w:hideMark/>
          </w:tcPr>
          <w:p w:rsidR="00023C53" w:rsidRPr="003D2612" w:rsidRDefault="00023C53" w:rsidP="00DD7DC8">
            <w:pPr>
              <w:jc w:val="center"/>
              <w:rPr>
                <w:color w:val="000000"/>
                <w:sz w:val="20"/>
                <w:szCs w:val="20"/>
              </w:rPr>
            </w:pPr>
            <w:r w:rsidRPr="003D2612">
              <w:rPr>
                <w:color w:val="000000"/>
                <w:sz w:val="20"/>
                <w:szCs w:val="20"/>
              </w:rPr>
              <w:t> </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023C53" w:rsidRPr="003D2612" w:rsidRDefault="00023C53" w:rsidP="00DD7DC8">
            <w:pPr>
              <w:jc w:val="center"/>
              <w:rPr>
                <w:color w:val="000000"/>
                <w:sz w:val="20"/>
                <w:szCs w:val="20"/>
              </w:rPr>
            </w:pPr>
            <w:r w:rsidRPr="003D2612">
              <w:rPr>
                <w:color w:val="000000"/>
                <w:sz w:val="20"/>
                <w:szCs w:val="20"/>
              </w:rPr>
              <w:t> </w:t>
            </w:r>
          </w:p>
        </w:tc>
        <w:tc>
          <w:tcPr>
            <w:tcW w:w="1134" w:type="dxa"/>
            <w:tcBorders>
              <w:top w:val="nil"/>
              <w:left w:val="nil"/>
              <w:bottom w:val="single" w:sz="8" w:space="0" w:color="auto"/>
              <w:right w:val="single" w:sz="8" w:space="0" w:color="auto"/>
            </w:tcBorders>
            <w:shd w:val="clear" w:color="auto" w:fill="F2F2F2"/>
            <w:noWrap/>
            <w:tcMar>
              <w:top w:w="0" w:type="dxa"/>
              <w:left w:w="108" w:type="dxa"/>
              <w:bottom w:w="0" w:type="dxa"/>
              <w:right w:w="108" w:type="dxa"/>
            </w:tcMar>
            <w:vAlign w:val="center"/>
            <w:hideMark/>
          </w:tcPr>
          <w:p w:rsidR="00023C53" w:rsidRPr="003D2612" w:rsidRDefault="00023C53" w:rsidP="00DD7DC8">
            <w:pPr>
              <w:ind w:left="-674" w:right="-392"/>
              <w:jc w:val="center"/>
              <w:rPr>
                <w:iCs/>
                <w:color w:val="000000"/>
                <w:sz w:val="20"/>
                <w:szCs w:val="20"/>
              </w:rPr>
            </w:pPr>
            <w:r w:rsidRPr="003D2612">
              <w:rPr>
                <w:iCs/>
                <w:color w:val="000000"/>
                <w:sz w:val="20"/>
                <w:szCs w:val="20"/>
              </w:rPr>
              <w:t xml:space="preserve">         34 284,50   </w:t>
            </w:r>
          </w:p>
        </w:tc>
        <w:tc>
          <w:tcPr>
            <w:tcW w:w="42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023C53" w:rsidRPr="003D2612" w:rsidRDefault="00023C53" w:rsidP="00DD7DC8">
            <w:pPr>
              <w:jc w:val="center"/>
              <w:rPr>
                <w:color w:val="000000"/>
                <w:sz w:val="20"/>
                <w:szCs w:val="20"/>
              </w:rPr>
            </w:pPr>
            <w:r w:rsidRPr="003D2612">
              <w:rPr>
                <w:color w:val="000000"/>
                <w:sz w:val="20"/>
                <w:szCs w:val="20"/>
              </w:rPr>
              <w:t> </w:t>
            </w:r>
          </w:p>
        </w:tc>
        <w:tc>
          <w:tcPr>
            <w:tcW w:w="1134" w:type="dxa"/>
            <w:tcBorders>
              <w:top w:val="nil"/>
              <w:left w:val="nil"/>
              <w:bottom w:val="single" w:sz="8" w:space="0" w:color="auto"/>
              <w:right w:val="single" w:sz="8" w:space="0" w:color="auto"/>
            </w:tcBorders>
            <w:shd w:val="clear" w:color="auto" w:fill="F2F2F2"/>
            <w:noWrap/>
            <w:tcMar>
              <w:top w:w="0" w:type="dxa"/>
              <w:left w:w="108" w:type="dxa"/>
              <w:bottom w:w="0" w:type="dxa"/>
              <w:right w:w="108" w:type="dxa"/>
            </w:tcMar>
            <w:vAlign w:val="center"/>
            <w:hideMark/>
          </w:tcPr>
          <w:p w:rsidR="00023C53" w:rsidRPr="003D2612" w:rsidRDefault="00023C53" w:rsidP="00DD7DC8">
            <w:pPr>
              <w:ind w:left="-534" w:right="-108"/>
              <w:jc w:val="center"/>
              <w:rPr>
                <w:iCs/>
                <w:color w:val="000000"/>
                <w:sz w:val="20"/>
                <w:szCs w:val="20"/>
              </w:rPr>
            </w:pPr>
            <w:r w:rsidRPr="003D2612">
              <w:rPr>
                <w:iCs/>
                <w:color w:val="000000"/>
                <w:sz w:val="20"/>
                <w:szCs w:val="20"/>
              </w:rPr>
              <w:t xml:space="preserve">         42 604,00   </w:t>
            </w:r>
          </w:p>
        </w:tc>
        <w:tc>
          <w:tcPr>
            <w:tcW w:w="470" w:type="dxa"/>
            <w:gridSpan w:val="2"/>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023C53" w:rsidRPr="003D2612" w:rsidRDefault="00023C53" w:rsidP="00DD7DC8">
            <w:pPr>
              <w:jc w:val="center"/>
              <w:rPr>
                <w:color w:val="000000"/>
                <w:sz w:val="20"/>
                <w:szCs w:val="20"/>
              </w:rPr>
            </w:pPr>
            <w:r w:rsidRPr="003D2612">
              <w:rPr>
                <w:color w:val="000000"/>
                <w:sz w:val="20"/>
                <w:szCs w:val="20"/>
              </w:rPr>
              <w:t> </w:t>
            </w:r>
          </w:p>
        </w:tc>
        <w:tc>
          <w:tcPr>
            <w:tcW w:w="1232" w:type="dxa"/>
            <w:tcBorders>
              <w:top w:val="nil"/>
              <w:left w:val="nil"/>
              <w:bottom w:val="single" w:sz="8" w:space="0" w:color="auto"/>
              <w:right w:val="single" w:sz="8" w:space="0" w:color="auto"/>
            </w:tcBorders>
            <w:shd w:val="clear" w:color="auto" w:fill="F2F2F2"/>
            <w:noWrap/>
            <w:tcMar>
              <w:top w:w="0" w:type="dxa"/>
              <w:left w:w="108" w:type="dxa"/>
              <w:bottom w:w="0" w:type="dxa"/>
              <w:right w:w="108" w:type="dxa"/>
            </w:tcMar>
            <w:vAlign w:val="center"/>
            <w:hideMark/>
          </w:tcPr>
          <w:p w:rsidR="00023C53" w:rsidRPr="003D2612" w:rsidRDefault="00023C53" w:rsidP="00DD7DC8">
            <w:pPr>
              <w:ind w:left="-1144" w:right="-675"/>
              <w:jc w:val="center"/>
              <w:rPr>
                <w:iCs/>
                <w:color w:val="000000"/>
                <w:sz w:val="20"/>
                <w:szCs w:val="20"/>
              </w:rPr>
            </w:pPr>
            <w:r w:rsidRPr="003D2612">
              <w:rPr>
                <w:iCs/>
                <w:color w:val="000000"/>
                <w:sz w:val="20"/>
                <w:szCs w:val="20"/>
              </w:rPr>
              <w:t xml:space="preserve">          9 703,60   </w:t>
            </w:r>
          </w:p>
        </w:tc>
        <w:tc>
          <w:tcPr>
            <w:tcW w:w="567" w:type="dxa"/>
            <w:gridSpan w:val="2"/>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023C53" w:rsidRPr="003D2612" w:rsidRDefault="00023C53" w:rsidP="00DD7DC8">
            <w:pPr>
              <w:jc w:val="center"/>
              <w:rPr>
                <w:color w:val="000000"/>
                <w:sz w:val="20"/>
                <w:szCs w:val="20"/>
              </w:rPr>
            </w:pPr>
            <w:r w:rsidRPr="003D2612">
              <w:rPr>
                <w:color w:val="000000"/>
                <w:sz w:val="20"/>
                <w:szCs w:val="20"/>
              </w:rPr>
              <w:t> </w:t>
            </w:r>
          </w:p>
        </w:tc>
      </w:tr>
      <w:tr w:rsidR="00023C53" w:rsidRPr="003D2612" w:rsidTr="00DD7DC8">
        <w:trPr>
          <w:trHeight w:val="315"/>
        </w:trPr>
        <w:tc>
          <w:tcPr>
            <w:tcW w:w="1134" w:type="dxa"/>
            <w:vMerge/>
            <w:tcBorders>
              <w:top w:val="nil"/>
              <w:left w:val="single" w:sz="8" w:space="0" w:color="auto"/>
              <w:bottom w:val="single" w:sz="8" w:space="0" w:color="000000"/>
              <w:right w:val="single" w:sz="8" w:space="0" w:color="auto"/>
            </w:tcBorders>
            <w:vAlign w:val="center"/>
            <w:hideMark/>
          </w:tcPr>
          <w:p w:rsidR="00023C53" w:rsidRPr="003D2612" w:rsidRDefault="00023C53" w:rsidP="00DD7DC8">
            <w:pPr>
              <w:rPr>
                <w:sz w:val="20"/>
                <w:szCs w:val="20"/>
              </w:rPr>
            </w:pPr>
          </w:p>
        </w:tc>
        <w:tc>
          <w:tcPr>
            <w:tcW w:w="850" w:type="dxa"/>
            <w:tcBorders>
              <w:top w:val="nil"/>
              <w:left w:val="nil"/>
              <w:bottom w:val="single" w:sz="8" w:space="0" w:color="auto"/>
              <w:right w:val="single" w:sz="8" w:space="0" w:color="auto"/>
            </w:tcBorders>
            <w:tcMar>
              <w:top w:w="0" w:type="dxa"/>
              <w:left w:w="108" w:type="dxa"/>
              <w:bottom w:w="0" w:type="dxa"/>
              <w:right w:w="108" w:type="dxa"/>
            </w:tcMar>
            <w:hideMark/>
          </w:tcPr>
          <w:p w:rsidR="00023C53" w:rsidRPr="003D2612" w:rsidRDefault="00023C53" w:rsidP="00DD7DC8">
            <w:pPr>
              <w:rPr>
                <w:sz w:val="20"/>
                <w:szCs w:val="20"/>
              </w:rPr>
            </w:pPr>
            <w:r w:rsidRPr="003D2612">
              <w:rPr>
                <w:sz w:val="20"/>
                <w:szCs w:val="20"/>
              </w:rPr>
              <w:t>местный бюджет</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023C53" w:rsidRPr="003D2612" w:rsidRDefault="00023C53" w:rsidP="00DD7DC8">
            <w:pPr>
              <w:ind w:left="-391" w:right="-108"/>
              <w:jc w:val="center"/>
              <w:rPr>
                <w:color w:val="000000"/>
                <w:sz w:val="20"/>
                <w:szCs w:val="20"/>
              </w:rPr>
            </w:pPr>
            <w:r w:rsidRPr="003D2612">
              <w:rPr>
                <w:color w:val="000000"/>
                <w:sz w:val="20"/>
                <w:szCs w:val="20"/>
              </w:rPr>
              <w:t xml:space="preserve">     157 439,21   </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023C53" w:rsidRPr="003D2612" w:rsidRDefault="00023C53" w:rsidP="00DD7DC8">
            <w:pPr>
              <w:jc w:val="center"/>
              <w:rPr>
                <w:color w:val="000000"/>
                <w:sz w:val="20"/>
                <w:szCs w:val="20"/>
              </w:rPr>
            </w:pPr>
            <w:r w:rsidRPr="003D2612">
              <w:rPr>
                <w:color w:val="000000"/>
                <w:sz w:val="20"/>
                <w:szCs w:val="20"/>
              </w:rPr>
              <w:t xml:space="preserve">                    -     </w:t>
            </w:r>
          </w:p>
        </w:tc>
        <w:tc>
          <w:tcPr>
            <w:tcW w:w="567" w:type="dxa"/>
            <w:gridSpan w:val="2"/>
            <w:tcBorders>
              <w:top w:val="nil"/>
              <w:left w:val="nil"/>
              <w:bottom w:val="single" w:sz="8" w:space="0" w:color="auto"/>
              <w:right w:val="single" w:sz="8" w:space="0" w:color="auto"/>
            </w:tcBorders>
            <w:shd w:val="clear" w:color="auto" w:fill="F2F2F2"/>
            <w:noWrap/>
            <w:tcMar>
              <w:top w:w="0" w:type="dxa"/>
              <w:left w:w="108" w:type="dxa"/>
              <w:bottom w:w="0" w:type="dxa"/>
              <w:right w:w="108" w:type="dxa"/>
            </w:tcMar>
            <w:vAlign w:val="center"/>
            <w:hideMark/>
          </w:tcPr>
          <w:p w:rsidR="00023C53" w:rsidRPr="003D2612" w:rsidRDefault="00023C53" w:rsidP="00DD7DC8">
            <w:pPr>
              <w:jc w:val="center"/>
              <w:rPr>
                <w:color w:val="000000"/>
                <w:sz w:val="20"/>
                <w:szCs w:val="20"/>
              </w:rPr>
            </w:pPr>
            <w:r w:rsidRPr="003D2612">
              <w:rPr>
                <w:color w:val="000000"/>
                <w:sz w:val="20"/>
                <w:szCs w:val="20"/>
              </w:rPr>
              <w:t> </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023C53" w:rsidRPr="003D2612" w:rsidRDefault="00023C53" w:rsidP="00DD7DC8">
            <w:pPr>
              <w:jc w:val="center"/>
              <w:rPr>
                <w:color w:val="000000"/>
                <w:sz w:val="20"/>
                <w:szCs w:val="20"/>
              </w:rPr>
            </w:pPr>
            <w:r w:rsidRPr="003D2612">
              <w:rPr>
                <w:color w:val="000000"/>
                <w:sz w:val="20"/>
                <w:szCs w:val="20"/>
              </w:rPr>
              <w:t> </w:t>
            </w:r>
          </w:p>
        </w:tc>
        <w:tc>
          <w:tcPr>
            <w:tcW w:w="1134" w:type="dxa"/>
            <w:tcBorders>
              <w:top w:val="nil"/>
              <w:left w:val="nil"/>
              <w:bottom w:val="single" w:sz="8" w:space="0" w:color="auto"/>
              <w:right w:val="single" w:sz="8" w:space="0" w:color="auto"/>
            </w:tcBorders>
            <w:shd w:val="clear" w:color="auto" w:fill="F2F2F2"/>
            <w:noWrap/>
            <w:tcMar>
              <w:top w:w="0" w:type="dxa"/>
              <w:left w:w="108" w:type="dxa"/>
              <w:bottom w:w="0" w:type="dxa"/>
              <w:right w:w="108" w:type="dxa"/>
            </w:tcMar>
            <w:vAlign w:val="center"/>
            <w:hideMark/>
          </w:tcPr>
          <w:p w:rsidR="00023C53" w:rsidRPr="003D2612" w:rsidRDefault="00023C53" w:rsidP="00DD7DC8">
            <w:pPr>
              <w:ind w:left="-674" w:right="-392"/>
              <w:jc w:val="center"/>
              <w:rPr>
                <w:iCs/>
                <w:color w:val="000000"/>
                <w:sz w:val="20"/>
                <w:szCs w:val="20"/>
              </w:rPr>
            </w:pPr>
            <w:r w:rsidRPr="003D2612">
              <w:rPr>
                <w:iCs/>
                <w:color w:val="000000"/>
                <w:sz w:val="20"/>
                <w:szCs w:val="20"/>
              </w:rPr>
              <w:t xml:space="preserve">         62 335,30   </w:t>
            </w:r>
          </w:p>
        </w:tc>
        <w:tc>
          <w:tcPr>
            <w:tcW w:w="42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023C53" w:rsidRPr="003D2612" w:rsidRDefault="00023C53" w:rsidP="00DD7DC8">
            <w:pPr>
              <w:jc w:val="center"/>
              <w:rPr>
                <w:color w:val="000000"/>
                <w:sz w:val="20"/>
                <w:szCs w:val="20"/>
              </w:rPr>
            </w:pPr>
            <w:r w:rsidRPr="003D2612">
              <w:rPr>
                <w:color w:val="000000"/>
                <w:sz w:val="20"/>
                <w:szCs w:val="20"/>
              </w:rPr>
              <w:t> </w:t>
            </w:r>
          </w:p>
        </w:tc>
        <w:tc>
          <w:tcPr>
            <w:tcW w:w="1134" w:type="dxa"/>
            <w:tcBorders>
              <w:top w:val="nil"/>
              <w:left w:val="nil"/>
              <w:bottom w:val="single" w:sz="8" w:space="0" w:color="auto"/>
              <w:right w:val="single" w:sz="8" w:space="0" w:color="auto"/>
            </w:tcBorders>
            <w:shd w:val="clear" w:color="auto" w:fill="F2F2F2"/>
            <w:noWrap/>
            <w:tcMar>
              <w:top w:w="0" w:type="dxa"/>
              <w:left w:w="108" w:type="dxa"/>
              <w:bottom w:w="0" w:type="dxa"/>
              <w:right w:w="108" w:type="dxa"/>
            </w:tcMar>
            <w:vAlign w:val="center"/>
            <w:hideMark/>
          </w:tcPr>
          <w:p w:rsidR="00023C53" w:rsidRPr="003D2612" w:rsidRDefault="00023C53" w:rsidP="00DD7DC8">
            <w:pPr>
              <w:ind w:left="-534" w:right="-108"/>
              <w:jc w:val="center"/>
              <w:rPr>
                <w:iCs/>
                <w:color w:val="000000"/>
                <w:sz w:val="20"/>
                <w:szCs w:val="20"/>
              </w:rPr>
            </w:pPr>
            <w:r w:rsidRPr="003D2612">
              <w:rPr>
                <w:iCs/>
                <w:color w:val="000000"/>
                <w:sz w:val="20"/>
                <w:szCs w:val="20"/>
              </w:rPr>
              <w:t xml:space="preserve">         77 461,60   </w:t>
            </w:r>
          </w:p>
        </w:tc>
        <w:tc>
          <w:tcPr>
            <w:tcW w:w="470" w:type="dxa"/>
            <w:gridSpan w:val="2"/>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023C53" w:rsidRPr="003D2612" w:rsidRDefault="00023C53" w:rsidP="00DD7DC8">
            <w:pPr>
              <w:jc w:val="center"/>
              <w:rPr>
                <w:color w:val="000000"/>
                <w:sz w:val="20"/>
                <w:szCs w:val="20"/>
              </w:rPr>
            </w:pPr>
            <w:r w:rsidRPr="003D2612">
              <w:rPr>
                <w:color w:val="000000"/>
                <w:sz w:val="20"/>
                <w:szCs w:val="20"/>
              </w:rPr>
              <w:t> </w:t>
            </w:r>
          </w:p>
        </w:tc>
        <w:tc>
          <w:tcPr>
            <w:tcW w:w="1232" w:type="dxa"/>
            <w:tcBorders>
              <w:top w:val="nil"/>
              <w:left w:val="nil"/>
              <w:bottom w:val="single" w:sz="8" w:space="0" w:color="auto"/>
              <w:right w:val="single" w:sz="8" w:space="0" w:color="auto"/>
            </w:tcBorders>
            <w:shd w:val="clear" w:color="auto" w:fill="F2F2F2"/>
            <w:noWrap/>
            <w:tcMar>
              <w:top w:w="0" w:type="dxa"/>
              <w:left w:w="108" w:type="dxa"/>
              <w:bottom w:w="0" w:type="dxa"/>
              <w:right w:w="108" w:type="dxa"/>
            </w:tcMar>
            <w:vAlign w:val="center"/>
            <w:hideMark/>
          </w:tcPr>
          <w:p w:rsidR="00023C53" w:rsidRPr="003D2612" w:rsidRDefault="00023C53" w:rsidP="00DD7DC8">
            <w:pPr>
              <w:ind w:left="-1144" w:right="-675"/>
              <w:jc w:val="center"/>
              <w:rPr>
                <w:iCs/>
                <w:color w:val="000000"/>
                <w:sz w:val="20"/>
                <w:szCs w:val="20"/>
              </w:rPr>
            </w:pPr>
            <w:r w:rsidRPr="003D2612">
              <w:rPr>
                <w:iCs/>
                <w:color w:val="000000"/>
                <w:sz w:val="20"/>
                <w:szCs w:val="20"/>
              </w:rPr>
              <w:t xml:space="preserve">        17 642,31   </w:t>
            </w:r>
          </w:p>
        </w:tc>
        <w:tc>
          <w:tcPr>
            <w:tcW w:w="567" w:type="dxa"/>
            <w:gridSpan w:val="2"/>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023C53" w:rsidRPr="003D2612" w:rsidRDefault="00023C53" w:rsidP="00DD7DC8">
            <w:pPr>
              <w:jc w:val="center"/>
              <w:rPr>
                <w:color w:val="000000"/>
                <w:sz w:val="20"/>
                <w:szCs w:val="20"/>
              </w:rPr>
            </w:pPr>
            <w:r w:rsidRPr="003D2612">
              <w:rPr>
                <w:color w:val="000000"/>
                <w:sz w:val="20"/>
                <w:szCs w:val="20"/>
              </w:rPr>
              <w:t> </w:t>
            </w:r>
          </w:p>
        </w:tc>
      </w:tr>
    </w:tbl>
    <w:p w:rsidR="00023C53" w:rsidRPr="003D2612" w:rsidRDefault="00023C53" w:rsidP="00023C53">
      <w:pPr>
        <w:jc w:val="both"/>
        <w:rPr>
          <w:i/>
          <w:sz w:val="28"/>
          <w:szCs w:val="28"/>
        </w:rPr>
      </w:pPr>
    </w:p>
    <w:p w:rsidR="00102AC4" w:rsidRPr="004D7D5A" w:rsidRDefault="00023C53" w:rsidP="00425DAA">
      <w:pPr>
        <w:jc w:val="both"/>
      </w:pPr>
      <w:r w:rsidRPr="003D2612">
        <w:rPr>
          <w:i/>
          <w:sz w:val="20"/>
          <w:szCs w:val="20"/>
        </w:rPr>
        <w:tab/>
      </w:r>
    </w:p>
    <w:p w:rsidR="00BB5E43" w:rsidRDefault="00BB5E43" w:rsidP="00BB5E43">
      <w:pPr>
        <w:ind w:firstLine="360"/>
        <w:jc w:val="both"/>
      </w:pPr>
      <w:r>
        <w:t>В рамках реализации Концепции и мероприятий целевой программы автономного округа  «Развитие системы обращений с отходами производства и потребления в ХМАО-Югре на 20</w:t>
      </w:r>
      <w:r w:rsidR="00F82433">
        <w:t xml:space="preserve">12-2015 </w:t>
      </w:r>
      <w:proofErr w:type="spellStart"/>
      <w:r w:rsidR="00F82433">
        <w:t>г.г</w:t>
      </w:r>
      <w:proofErr w:type="spellEnd"/>
      <w:r w:rsidR="00F82433">
        <w:t>. и на период до 2021</w:t>
      </w:r>
      <w:r>
        <w:t xml:space="preserve">г.» проводятся мероприятия по проектированию и строительству межмуниципального полигона для захоронения (утилизации) бытовых и промышленных отходов для г. Нефтеюганск и </w:t>
      </w:r>
      <w:proofErr w:type="spellStart"/>
      <w:r>
        <w:t>Пыть-Ях</w:t>
      </w:r>
      <w:proofErr w:type="spellEnd"/>
      <w:r>
        <w:t xml:space="preserve">, поселений </w:t>
      </w:r>
      <w:proofErr w:type="spellStart"/>
      <w:r>
        <w:t>Нефтеюганского</w:t>
      </w:r>
      <w:proofErr w:type="spellEnd"/>
      <w:r>
        <w:t xml:space="preserve"> района. </w:t>
      </w:r>
    </w:p>
    <w:p w:rsidR="00036688" w:rsidRPr="00036688" w:rsidRDefault="006E20CA" w:rsidP="00036688">
      <w:pPr>
        <w:spacing w:after="255"/>
        <w:jc w:val="both"/>
      </w:pPr>
      <w:r>
        <w:rPr>
          <w:lang w:val="tt-RU"/>
        </w:rPr>
        <w:t xml:space="preserve">    </w:t>
      </w:r>
      <w:r w:rsidR="00036688" w:rsidRPr="00036688">
        <w:rPr>
          <w:lang w:val="tt-RU"/>
        </w:rPr>
        <w:t xml:space="preserve">В 2011году выдано СЭЗ № 86.НП.01.000.Т.000013.05.11 от 31.05.2011г на земельный участок под строительство объекта: “Межмуниципальный полигон для утилизации (захоронения) промышленных и бытовых отходов” общей площадью 16,2 кв.м для Админитсрации муниципального образования города Нефтеюганска, местонахождение участка: Тюменская область, Ханты-Мансийский автономный округ-Югра, Нефтеюганский район, участок лесного фонда Островного урочища Нефтеюганского участкового лесничества, территориального отдела – Нефтеюганское лесничество в квартале 33, выделы – 2,3,5,6.   Ориентировочная санитарно-защитная зона (без компостирования) в соответствии с санитарной классификацией СанПиН 2.2.1/2.1.1.1200-03 – </w:t>
      </w:r>
      <w:smartTag w:uri="urn:schemas-microsoft-com:office:smarttags" w:element="metricconverter">
        <w:smartTagPr>
          <w:attr w:name="ProductID" w:val="1000 метров"/>
        </w:smartTagPr>
        <w:r w:rsidR="00036688" w:rsidRPr="00036688">
          <w:rPr>
            <w:lang w:val="tt-RU"/>
          </w:rPr>
          <w:t>1000 метров</w:t>
        </w:r>
      </w:smartTag>
      <w:r w:rsidR="00036688" w:rsidRPr="00036688">
        <w:rPr>
          <w:lang w:val="tt-RU"/>
        </w:rPr>
        <w:t xml:space="preserve"> (раздел </w:t>
      </w:r>
      <w:r w:rsidR="00036688" w:rsidRPr="00036688">
        <w:rPr>
          <w:lang w:val="en-US"/>
        </w:rPr>
        <w:t>VII</w:t>
      </w:r>
      <w:r w:rsidR="00036688" w:rsidRPr="00036688">
        <w:t>; 7.1.12 класс1, п.1</w:t>
      </w:r>
      <w:r w:rsidR="00036688" w:rsidRPr="00036688">
        <w:rPr>
          <w:lang w:val="tt-RU"/>
        </w:rPr>
        <w:t>)</w:t>
      </w:r>
      <w:r w:rsidR="00036688">
        <w:t xml:space="preserve">. </w:t>
      </w:r>
      <w:r w:rsidR="00036688" w:rsidRPr="00036688">
        <w:rPr>
          <w:lang w:val="tt-RU"/>
        </w:rPr>
        <w:t xml:space="preserve"> В </w:t>
      </w:r>
      <w:r w:rsidR="00501EF4">
        <w:rPr>
          <w:lang w:val="tt-RU"/>
        </w:rPr>
        <w:t xml:space="preserve">2015 году </w:t>
      </w:r>
      <w:r w:rsidR="00036688" w:rsidRPr="00036688">
        <w:rPr>
          <w:lang w:val="tt-RU"/>
        </w:rPr>
        <w:t>заказчиком БУ “Управление капитального стр</w:t>
      </w:r>
      <w:r w:rsidR="00501EF4">
        <w:rPr>
          <w:lang w:val="tt-RU"/>
        </w:rPr>
        <w:t>оительства ХМАО-Югры” проводились</w:t>
      </w:r>
      <w:r w:rsidR="00036688" w:rsidRPr="00036688">
        <w:rPr>
          <w:lang w:val="tt-RU"/>
        </w:rPr>
        <w:t xml:space="preserve"> мероприятия по проектированию объекта “Комплексный межмуниципальный полгон для захоронения (утилизации) бытовых и промышленных отходов для городов Нефтеюганск и Пыть-Ях, поселений Нефтеюганского района”.  Согласно инофомации Администрации МО г.Нефтеюганск проектная документация разработана в полном объеме, получено положительное заключение государственной экологическоц экспертизы от 23.06.2015г. </w:t>
      </w:r>
    </w:p>
    <w:p w:rsidR="00BB5E43" w:rsidRDefault="00BB5E43" w:rsidP="00E50596">
      <w:pPr>
        <w:ind w:firstLine="360"/>
        <w:jc w:val="both"/>
      </w:pPr>
      <w:r>
        <w:t xml:space="preserve">В соответствии с письмом заместителя Губернатора ХМАО-Югры </w:t>
      </w:r>
      <w:proofErr w:type="spellStart"/>
      <w:r>
        <w:t>Д.В.Шаповалова</w:t>
      </w:r>
      <w:proofErr w:type="spellEnd"/>
      <w:r>
        <w:t xml:space="preserve">  от 10.09.2013г. №ДШ-18391, в рамках государственной программы автономного округа  «Обеспечение экологической безопасности ХМАО-Югры на 2014-2020годы» , подпрограммой «Развитие системы обращения с отходами производства и потребления в ХМАО-Югре» по объекту «Комплексный межмуниципальный полигон для захоронения бытовых и промышленных отходов для </w:t>
      </w:r>
      <w:proofErr w:type="spellStart"/>
      <w:r>
        <w:t>г.Нефтеюганска</w:t>
      </w:r>
      <w:proofErr w:type="spellEnd"/>
      <w:r>
        <w:t xml:space="preserve"> и </w:t>
      </w:r>
      <w:proofErr w:type="spellStart"/>
      <w:r>
        <w:t>Пыть-Ях</w:t>
      </w:r>
      <w:proofErr w:type="spellEnd"/>
      <w:r>
        <w:t xml:space="preserve">, поселений </w:t>
      </w:r>
      <w:proofErr w:type="spellStart"/>
      <w:r>
        <w:t>Нефтеюганского</w:t>
      </w:r>
      <w:proofErr w:type="spellEnd"/>
      <w:r>
        <w:t xml:space="preserve"> района» запланированы следующие этапы:</w:t>
      </w:r>
      <w:r w:rsidR="00E50596">
        <w:t xml:space="preserve">   -</w:t>
      </w:r>
      <w:r>
        <w:t>2013-2014 годы проведение</w:t>
      </w:r>
      <w:r w:rsidR="00E50596">
        <w:t xml:space="preserve"> проектно-изыскательских работ; -  </w:t>
      </w:r>
      <w:r w:rsidR="00036688">
        <w:t>2014-2020</w:t>
      </w:r>
      <w:r>
        <w:t xml:space="preserve"> годы строительство объекта.</w:t>
      </w:r>
    </w:p>
    <w:p w:rsidR="00BB5E43" w:rsidRPr="00E50596" w:rsidRDefault="008E57D5" w:rsidP="00E50596">
      <w:pPr>
        <w:ind w:firstLine="360"/>
        <w:jc w:val="both"/>
        <w:rPr>
          <w:b/>
        </w:rPr>
      </w:pPr>
      <w:r w:rsidRPr="005C1411">
        <w:t>При строительстве объекта «Комплексный межмуниципальный</w:t>
      </w:r>
      <w:r>
        <w:t xml:space="preserve"> полигон для захоронения отходов для городов </w:t>
      </w:r>
      <w:r w:rsidRPr="00592438">
        <w:rPr>
          <w:b/>
        </w:rPr>
        <w:t>Нефтеюганск</w:t>
      </w:r>
      <w:r>
        <w:t xml:space="preserve">, </w:t>
      </w:r>
      <w:proofErr w:type="spellStart"/>
      <w:r w:rsidRPr="00592438">
        <w:t>Пыть-Ях</w:t>
      </w:r>
      <w:proofErr w:type="spellEnd"/>
      <w:proofErr w:type="gramStart"/>
      <w:r>
        <w:rPr>
          <w:b/>
        </w:rPr>
        <w:t xml:space="preserve"> ,</w:t>
      </w:r>
      <w:proofErr w:type="gramEnd"/>
      <w:r w:rsidR="000320FD">
        <w:t xml:space="preserve">поселений </w:t>
      </w:r>
      <w:proofErr w:type="spellStart"/>
      <w:r w:rsidR="000320FD">
        <w:t>Нефтеюганского</w:t>
      </w:r>
      <w:proofErr w:type="spellEnd"/>
      <w:r w:rsidR="000320FD">
        <w:t xml:space="preserve"> района</w:t>
      </w:r>
      <w:r>
        <w:t>»</w:t>
      </w:r>
      <w:r w:rsidR="00FF271D">
        <w:t xml:space="preserve"> </w:t>
      </w:r>
      <w:r>
        <w:t xml:space="preserve">планируется </w:t>
      </w:r>
      <w:r w:rsidR="000320FD">
        <w:t>в составе полигона строительства</w:t>
      </w:r>
      <w:r>
        <w:t xml:space="preserve"> «Завода по переработке </w:t>
      </w:r>
      <w:proofErr w:type="spellStart"/>
      <w:r>
        <w:t>отходов..».</w:t>
      </w:r>
      <w:r w:rsidR="00BB5E43">
        <w:t>По</w:t>
      </w:r>
      <w:proofErr w:type="spellEnd"/>
      <w:r w:rsidR="00BB5E43">
        <w:t xml:space="preserve"> информации Департамента природных ресурсов и </w:t>
      </w:r>
      <w:proofErr w:type="spellStart"/>
      <w:r w:rsidR="00BB5E43">
        <w:t>несырьевого</w:t>
      </w:r>
      <w:proofErr w:type="spellEnd"/>
      <w:r w:rsidR="00BB5E43">
        <w:t xml:space="preserve"> сектора экономики ХМАО-Югры, завершение проектирования планировалось  в апреле 2017 года. В соответствии с указанной Государственной программой строительство </w:t>
      </w:r>
      <w:r w:rsidR="00BB5E43">
        <w:lastRenderedPageBreak/>
        <w:t>межмуниципального полигона запланировано на 2017-2018</w:t>
      </w:r>
      <w:r w:rsidR="005C1411">
        <w:t>-2019-2020</w:t>
      </w:r>
      <w:r w:rsidR="00BB5E43">
        <w:t xml:space="preserve"> годы за счет средств внебюджетных источников на основе концессионного соглашения.</w:t>
      </w:r>
    </w:p>
    <w:p w:rsidR="00BB5E43" w:rsidRDefault="00BB5E43" w:rsidP="00307DFF">
      <w:pPr>
        <w:ind w:firstLine="360"/>
        <w:jc w:val="both"/>
      </w:pPr>
      <w:r w:rsidRPr="00E50596">
        <w:rPr>
          <w:u w:val="single"/>
        </w:rPr>
        <w:t xml:space="preserve">Меры, принятые с целью проведения рекультивации закрытой санкционированной свалки г. </w:t>
      </w:r>
      <w:proofErr w:type="spellStart"/>
      <w:r w:rsidRPr="00E50596">
        <w:rPr>
          <w:u w:val="single"/>
        </w:rPr>
        <w:t>Нефтеюганска</w:t>
      </w:r>
      <w:proofErr w:type="gramStart"/>
      <w:r>
        <w:t>:</w:t>
      </w:r>
      <w:r w:rsidRPr="009C565E">
        <w:t>В</w:t>
      </w:r>
      <w:proofErr w:type="spellEnd"/>
      <w:proofErr w:type="gramEnd"/>
      <w:r w:rsidRPr="009C565E">
        <w:t xml:space="preserve"> 2016 году департаментом жилищно-коммунального хозяйства администрации города заключе</w:t>
      </w:r>
      <w:r w:rsidR="00826173" w:rsidRPr="009C565E">
        <w:t xml:space="preserve">н муниципальный контракт   </w:t>
      </w:r>
      <w:r w:rsidRPr="009C565E">
        <w:t xml:space="preserve"> № 0187300012816000390 от 26.09.2016 с ОАО «Тюменский проектно-изыскательский институт водного хозяйства» («</w:t>
      </w:r>
      <w:proofErr w:type="spellStart"/>
      <w:r w:rsidRPr="009C565E">
        <w:t>Тюменгипроводхоз</w:t>
      </w:r>
      <w:proofErr w:type="spellEnd"/>
      <w:r w:rsidRPr="009C565E">
        <w:t xml:space="preserve">») на выполнение проектно-изыскательских работ по рекультивации свалки ТБО. 06 марта 2017 года состоялись общественные обсуждения материалов проектной документации в форме публичных слушаний, проектная документация с материалами публичных слушаний </w:t>
      </w:r>
      <w:proofErr w:type="gramStart"/>
      <w:r w:rsidRPr="009C565E">
        <w:t>направлена</w:t>
      </w:r>
      <w:proofErr w:type="gramEnd"/>
      <w:r w:rsidRPr="009C565E">
        <w:t xml:space="preserve"> на Государственную экологическую экспертизу.28.06.2017 получено</w:t>
      </w:r>
      <w:r>
        <w:t xml:space="preserve"> отрицательное заключение Государственной экологической экспертизы на разработанный проект, в связи, с чем работы подрядчику не оплачивались, срок действия муниципального контракта с ОАО «</w:t>
      </w:r>
      <w:proofErr w:type="spellStart"/>
      <w:r>
        <w:t>Тюменгипроводхоз</w:t>
      </w:r>
      <w:proofErr w:type="spellEnd"/>
      <w:r>
        <w:t>» истек.</w:t>
      </w:r>
      <w:r w:rsidR="000973BE">
        <w:t xml:space="preserve"> </w:t>
      </w:r>
      <w:r>
        <w:t xml:space="preserve">Ввиду вышеизложенных обстоятельств, после соответствующей переписки с заместителями Губернатора ХМАО-Югры по сложившейся ситуации, </w:t>
      </w:r>
      <w:r w:rsidR="00992CE3">
        <w:t xml:space="preserve">были </w:t>
      </w:r>
      <w:r>
        <w:t>подготовлены необходимые документы для проведения конкурсного отбора подрядчика для проведения новых проектно-изыскательских работ по</w:t>
      </w:r>
      <w:r w:rsidR="00992CE3">
        <w:t xml:space="preserve"> рекультивации объекта.</w:t>
      </w:r>
    </w:p>
    <w:p w:rsidR="00BB5E43" w:rsidRPr="00A53A59" w:rsidRDefault="00BB5E43" w:rsidP="00BB5E43">
      <w:pPr>
        <w:ind w:firstLine="360"/>
        <w:jc w:val="both"/>
        <w:rPr>
          <w:b/>
        </w:rPr>
      </w:pPr>
      <w:r w:rsidRPr="00A53A59">
        <w:rPr>
          <w:b/>
          <w:u w:val="single"/>
        </w:rPr>
        <w:t xml:space="preserve">Документы регулирующие обращение с отходами производства и потребления на территории МО </w:t>
      </w:r>
      <w:proofErr w:type="spellStart"/>
      <w:r w:rsidRPr="00A53A59">
        <w:rPr>
          <w:b/>
          <w:u w:val="single"/>
        </w:rPr>
        <w:t>г.Нефтеюганск</w:t>
      </w:r>
      <w:proofErr w:type="spellEnd"/>
      <w:r w:rsidR="00592438" w:rsidRPr="00A53A59">
        <w:rPr>
          <w:b/>
        </w:rPr>
        <w:t xml:space="preserve">: </w:t>
      </w:r>
    </w:p>
    <w:p w:rsidR="00BB5E43" w:rsidRDefault="00BB5E43" w:rsidP="00BB5E43">
      <w:pPr>
        <w:ind w:firstLine="360"/>
        <w:jc w:val="both"/>
      </w:pPr>
      <w:r>
        <w:t xml:space="preserve">-Реализация мероприятий экологической направленности осуществляется в рамках муниципальной программы города Нефтеюганска «Развитие жилищно-коммунального комплекса в городе Нефтеюганске в 2014-2020годах», утвержденной постановлением администрации города Нефтеюганска от 29.10.2013г. №1217-п с последующими изменениями и дополнениями. </w:t>
      </w:r>
    </w:p>
    <w:p w:rsidR="00BB5E43" w:rsidRDefault="00BB5E43" w:rsidP="00BB5E43">
      <w:pPr>
        <w:pStyle w:val="a3"/>
        <w:rPr>
          <w:sz w:val="24"/>
          <w:szCs w:val="24"/>
        </w:rPr>
      </w:pPr>
      <w:r>
        <w:rPr>
          <w:sz w:val="24"/>
          <w:szCs w:val="24"/>
        </w:rPr>
        <w:t xml:space="preserve">- «Схема обращения с отходами производства и потребления </w:t>
      </w:r>
      <w:proofErr w:type="spellStart"/>
      <w:r>
        <w:rPr>
          <w:sz w:val="24"/>
          <w:szCs w:val="24"/>
        </w:rPr>
        <w:t>вХанты</w:t>
      </w:r>
      <w:proofErr w:type="spellEnd"/>
      <w:r>
        <w:rPr>
          <w:sz w:val="24"/>
          <w:szCs w:val="24"/>
        </w:rPr>
        <w:t>-Мансийском автономном округе-Югре на период до 2020 года»  утверждена распоряжением Правительства ХМАО-Югры от 03.11.2011г. №625-рп.</w:t>
      </w:r>
    </w:p>
    <w:p w:rsidR="00B11A4D" w:rsidRDefault="00BB5E43" w:rsidP="00BB5E43">
      <w:pPr>
        <w:pStyle w:val="a3"/>
        <w:rPr>
          <w:szCs w:val="28"/>
        </w:rPr>
      </w:pPr>
      <w:r>
        <w:rPr>
          <w:sz w:val="24"/>
          <w:szCs w:val="24"/>
        </w:rPr>
        <w:t xml:space="preserve">    -  Главой города Нефтеюганска утверждена Генеральная схема очистки территории города Нефтеюганска (Постановлении администрации города Нефтеюганска от 10.01.2010г. №54)</w:t>
      </w:r>
      <w:r w:rsidR="005E0C0D">
        <w:rPr>
          <w:szCs w:val="28"/>
        </w:rPr>
        <w:t>.</w:t>
      </w:r>
    </w:p>
    <w:p w:rsidR="00BB5E43" w:rsidRPr="00B11A4D" w:rsidRDefault="009E5AE1" w:rsidP="00BB5E43">
      <w:pPr>
        <w:pStyle w:val="a3"/>
        <w:rPr>
          <w:szCs w:val="28"/>
        </w:rPr>
      </w:pPr>
      <w:r>
        <w:rPr>
          <w:szCs w:val="28"/>
        </w:rPr>
        <w:t xml:space="preserve">  - </w:t>
      </w:r>
      <w:r w:rsidR="005E0C0D" w:rsidRPr="005E0C0D">
        <w:rPr>
          <w:sz w:val="24"/>
          <w:szCs w:val="24"/>
        </w:rPr>
        <w:t>Генеральная схема очистки территории города Нефтеюганска утверждена постановлением администрации города от 06 марта 2017 года № 35-нп.</w:t>
      </w:r>
    </w:p>
    <w:p w:rsidR="007776D5" w:rsidRDefault="00AF445E" w:rsidP="00AF445E">
      <w:pPr>
        <w:pStyle w:val="a3"/>
        <w:rPr>
          <w:sz w:val="24"/>
          <w:szCs w:val="24"/>
        </w:rPr>
      </w:pPr>
      <w:r w:rsidRPr="00AF445E">
        <w:rPr>
          <w:sz w:val="24"/>
          <w:szCs w:val="24"/>
        </w:rPr>
        <w:t>-</w:t>
      </w:r>
      <w:r w:rsidR="007776D5" w:rsidRPr="00AF445E">
        <w:rPr>
          <w:sz w:val="24"/>
          <w:szCs w:val="24"/>
        </w:rPr>
        <w:t xml:space="preserve"> На основании приказа департамента промышленности ХМАО-Югры №38-п162 от 06.10.2017 «Об утверждении методических рекомендаций по исполнению органами местного самоуправления муниципальных образований ХМАО-Югры отдельных полномочий в сфере обращения с твердыми коммунальными отходами» администрацией города Нефтеюганска утверждены нормативы накопления твердых коммунальных отходов (далее-ТКО) Постановлением №225-нп от 20.12.2017 «Об утверждении нормативов накопления твердых коммунальных отходов на территории муниципального образования город Нефтеюганск».</w:t>
      </w:r>
    </w:p>
    <w:p w:rsidR="00FF271D" w:rsidRDefault="00FF271D" w:rsidP="005F5907">
      <w:pPr>
        <w:ind w:firstLine="360"/>
        <w:jc w:val="both"/>
      </w:pPr>
    </w:p>
    <w:p w:rsidR="005F5907" w:rsidRPr="002330F6" w:rsidRDefault="005F5907" w:rsidP="005F5907">
      <w:pPr>
        <w:ind w:firstLine="360"/>
        <w:jc w:val="both"/>
      </w:pPr>
      <w:r>
        <w:t xml:space="preserve">-Правила благоустройства муниципального образования, утверждённые Решением </w:t>
      </w:r>
      <w:r w:rsidRPr="002330F6">
        <w:t xml:space="preserve">Думы города №245-. Администрацией города Нефтеюганска в рамках данной 1Х от 20.06.2007г.,  </w:t>
      </w:r>
    </w:p>
    <w:p w:rsidR="005F5907" w:rsidRPr="002330F6" w:rsidRDefault="005F5907" w:rsidP="005F5907">
      <w:pPr>
        <w:ind w:firstLine="360"/>
        <w:jc w:val="both"/>
      </w:pPr>
      <w:r w:rsidRPr="002330F6">
        <w:t>-Правила обращения с отходами производства и потребления на территории МО г. Нефтеюганск утверждены постановлением администрации города Нефтеюганск от 25.10.2012г. №3050 .</w:t>
      </w:r>
    </w:p>
    <w:p w:rsidR="005F5907" w:rsidRPr="002330F6" w:rsidRDefault="005F5907" w:rsidP="005F5907">
      <w:pPr>
        <w:jc w:val="both"/>
      </w:pPr>
      <w:r w:rsidRPr="002330F6">
        <w:t>- Постановление администрации города от 20.12.2017 № 225-нп «Об утверждении нормативов накопления твердых коммунальных отходов на территории муниципального образования город Нефтеюганск».</w:t>
      </w:r>
    </w:p>
    <w:p w:rsidR="005F5907" w:rsidRDefault="005F5907" w:rsidP="005F5907">
      <w:pPr>
        <w:jc w:val="both"/>
      </w:pPr>
      <w:r w:rsidRPr="002330F6">
        <w:lastRenderedPageBreak/>
        <w:t>-  Постановление администрации города от 14.06.2018 №86-нп «Об утверждении порядка накопления твёрдых коммунальных отходов (в том числе раздельного накопления) на территории муниципального образования город Нефтеюганск».</w:t>
      </w:r>
    </w:p>
    <w:p w:rsidR="005F5907" w:rsidRDefault="005F5907" w:rsidP="00AF445E">
      <w:pPr>
        <w:jc w:val="both"/>
      </w:pPr>
    </w:p>
    <w:p w:rsidR="007776D5" w:rsidRPr="00AF445E" w:rsidRDefault="007776D5" w:rsidP="00AF445E">
      <w:pPr>
        <w:jc w:val="both"/>
      </w:pPr>
      <w:r w:rsidRPr="00AF445E">
        <w:t>По сбору информации о нормативах накопления ТКО в частном секторе, а также в многоквартирных жилых домах сообщаю, что проведена работа по актуализации количества индивидуальных жилых строений и населения, проживающего в частном секторе города Нефтеюганска. С 11 марта 2019 года согласно графикам проверки ООО «</w:t>
      </w:r>
      <w:proofErr w:type="spellStart"/>
      <w:r w:rsidRPr="00AF445E">
        <w:t>Спецкоммунсервис</w:t>
      </w:r>
      <w:proofErr w:type="spellEnd"/>
      <w:r w:rsidRPr="00AF445E">
        <w:t>» комиссионно совместно с представителями регионального оператора по обращению с ТКО АО «Югра-Экология», а также представителями обществен</w:t>
      </w:r>
      <w:r w:rsidR="00027C9D">
        <w:t xml:space="preserve">ности </w:t>
      </w:r>
      <w:proofErr w:type="spellStart"/>
      <w:r w:rsidR="00027C9D">
        <w:t>г.Нефтеюганска</w:t>
      </w:r>
      <w:proofErr w:type="spellEnd"/>
      <w:r w:rsidR="00027C9D">
        <w:t xml:space="preserve">, проводилась </w:t>
      </w:r>
      <w:r w:rsidRPr="00AF445E">
        <w:t xml:space="preserve"> работа по проверке соответствия фактических нормативов накопления ТКО нормативам накопления ТКО </w:t>
      </w:r>
      <w:proofErr w:type="spellStart"/>
      <w:r w:rsidRPr="00AF445E">
        <w:t>г.Нефтеюганска</w:t>
      </w:r>
      <w:proofErr w:type="spellEnd"/>
      <w:r w:rsidRPr="00AF445E">
        <w:t xml:space="preserve">, утверждённым Постановлением №225-нп от 20.12.2017. Ежемесячно в каждом микрорайоне города на разных контейнерных площадках производятся замеры фактически накопленного мусора жителями МКД. В частном </w:t>
      </w:r>
      <w:r w:rsidR="00B776C7">
        <w:t>секторе города замеры проводились</w:t>
      </w:r>
      <w:r w:rsidRPr="00AF445E">
        <w:t xml:space="preserve"> на контейнерных площадках и согласно </w:t>
      </w:r>
      <w:r w:rsidR="00B776C7" w:rsidRPr="00AF445E">
        <w:t>бес контейнерному</w:t>
      </w:r>
      <w:r w:rsidRPr="00AF445E">
        <w:t xml:space="preserve"> способу </w:t>
      </w:r>
      <w:r w:rsidR="00B776C7">
        <w:t>(пакетами). Измерения проводились</w:t>
      </w:r>
      <w:r w:rsidRPr="00AF445E">
        <w:t xml:space="preserve"> по каждой машине действующих операторов по транспортированию города. </w:t>
      </w:r>
    </w:p>
    <w:p w:rsidR="007776D5" w:rsidRPr="00FE5D1E" w:rsidRDefault="007776D5" w:rsidP="00FE5D1E">
      <w:pPr>
        <w:jc w:val="both"/>
        <w:rPr>
          <w:b/>
          <w:u w:val="single"/>
        </w:rPr>
      </w:pPr>
      <w:r w:rsidRPr="00FE5D1E">
        <w:rPr>
          <w:b/>
          <w:u w:val="single"/>
        </w:rPr>
        <w:t>По судебным решениям в администрации города по вопросам обращения с отходами:</w:t>
      </w:r>
    </w:p>
    <w:p w:rsidR="007B24B4" w:rsidRPr="007B24B4" w:rsidRDefault="007B24B4" w:rsidP="007B24B4">
      <w:pPr>
        <w:ind w:firstLine="708"/>
        <w:jc w:val="both"/>
      </w:pPr>
      <w:r w:rsidRPr="007B24B4">
        <w:t>-организация исполнений судебных решений по ликвидации несанкционированных свалок.</w:t>
      </w:r>
    </w:p>
    <w:p w:rsidR="007B24B4" w:rsidRPr="007B24B4" w:rsidRDefault="007B24B4" w:rsidP="007B24B4">
      <w:pPr>
        <w:ind w:firstLine="708"/>
        <w:jc w:val="both"/>
      </w:pPr>
      <w:r w:rsidRPr="007B24B4">
        <w:t xml:space="preserve">В бюджете муниципального образования </w:t>
      </w:r>
      <w:proofErr w:type="spellStart"/>
      <w:r w:rsidRPr="007B24B4">
        <w:t>г.Нефтеюганск</w:t>
      </w:r>
      <w:proofErr w:type="spellEnd"/>
      <w:r w:rsidRPr="007B24B4">
        <w:t xml:space="preserve"> заложены финансовые средства на ежегодные расходы по ликвидации мест несанкционированных свалок в 2020 г. и планируемые 2021, 2022 г., в размере 200 000 рублей. </w:t>
      </w:r>
    </w:p>
    <w:p w:rsidR="007B24B4" w:rsidRPr="007B24B4" w:rsidRDefault="007B24B4" w:rsidP="007B24B4">
      <w:pPr>
        <w:ind w:firstLine="708"/>
        <w:jc w:val="both"/>
      </w:pPr>
      <w:r w:rsidRPr="007B24B4">
        <w:t>Объём финансирования утверждён решением Думы города Нефтеюганска №700-</w:t>
      </w:r>
      <w:r w:rsidRPr="007B24B4">
        <w:rPr>
          <w:lang w:val="en-US"/>
        </w:rPr>
        <w:t>VI</w:t>
      </w:r>
      <w:r w:rsidRPr="007B24B4">
        <w:t xml:space="preserve"> от 24 декабря 2019 года «О бюджете города Нефтеюганска на 2020 год и плановый период 2021 и 2022 годов». В связи с тем, что данных средств недостаточно для ликвидации несанкционированных свалок, по запросу департамента ЖКХ выделено дополнительное финансирование на ликвидацию свалок в 2021 году в размере 3 510 816,63 руб., из которых средства в размере 486 621,63 руб. будут направлены на ликвидацию свалок отработанных пневматических шин.</w:t>
      </w:r>
    </w:p>
    <w:p w:rsidR="007B24B4" w:rsidRPr="007B24B4" w:rsidRDefault="007B24B4" w:rsidP="007B24B4">
      <w:pPr>
        <w:ind w:firstLine="708"/>
        <w:jc w:val="both"/>
      </w:pPr>
      <w:r w:rsidRPr="007B24B4">
        <w:t>15.04.2021 заключен муниципальный контракт № ЭА.2021.00013 на оказание услуг по ликвидации несанкционированных свалок (отработанные пневматические шины) на сумму 296 808,27 рублей (исполнитель -  Общество с ограниченной ответственностью «</w:t>
      </w:r>
      <w:proofErr w:type="spellStart"/>
      <w:r w:rsidRPr="007B24B4">
        <w:t>Утилитсервис</w:t>
      </w:r>
      <w:proofErr w:type="spellEnd"/>
      <w:r w:rsidRPr="007B24B4">
        <w:t xml:space="preserve">»). </w:t>
      </w:r>
    </w:p>
    <w:p w:rsidR="007B24B4" w:rsidRPr="007B24B4" w:rsidRDefault="007B24B4" w:rsidP="007B24B4">
      <w:pPr>
        <w:ind w:firstLine="708"/>
        <w:jc w:val="both"/>
      </w:pPr>
      <w:r w:rsidRPr="007B24B4">
        <w:t>Работы по ликвидации несанкционированных свалок (пневматических шин) по данному контракту выполнены в полном объёме.  Собрано и утилизировано 36,104 тонн пневматических шин.</w:t>
      </w:r>
    </w:p>
    <w:p w:rsidR="007B24B4" w:rsidRPr="007B24B4" w:rsidRDefault="007B24B4" w:rsidP="007B24B4">
      <w:pPr>
        <w:ind w:firstLine="708"/>
        <w:jc w:val="both"/>
      </w:pPr>
      <w:r w:rsidRPr="007B24B4">
        <w:t>В рамках дополнительно выделенного финансирования по результатам проведенного аукциона заключен муниципальный контракт № ЭА.2021.00089 от 17.09.2021 на оказание услуг по ликвидации несанкционированных свалок на территории муниципального образования г. Нефтеюганск на сумму 3 224 195,00 рублей, исполнитель - Общество с ограниченной ответственностью «ВТОР РЕСУРС».</w:t>
      </w:r>
    </w:p>
    <w:p w:rsidR="007B24B4" w:rsidRPr="007B24B4" w:rsidRDefault="007B24B4" w:rsidP="007B24B4">
      <w:pPr>
        <w:ind w:firstLine="708"/>
        <w:jc w:val="both"/>
      </w:pPr>
      <w:r w:rsidRPr="007B24B4">
        <w:t xml:space="preserve">Исполнителем выполнены работы по ликвидации несанкционированных свалок по следующим адресам: </w:t>
      </w:r>
      <w:proofErr w:type="spellStart"/>
      <w:r w:rsidRPr="007B24B4">
        <w:t>ул.Энергетиков</w:t>
      </w:r>
      <w:proofErr w:type="spellEnd"/>
      <w:r w:rsidRPr="007B24B4">
        <w:t xml:space="preserve"> (прилегающие территории вдоль автодороги); конечная улица Усть-Балыкская, район старого аэропорта, ГСК «Обь»; 11А микрорайон, </w:t>
      </w:r>
      <w:proofErr w:type="spellStart"/>
      <w:r w:rsidRPr="007B24B4">
        <w:t>ул.Дорожная</w:t>
      </w:r>
      <w:proofErr w:type="spellEnd"/>
      <w:r w:rsidRPr="007B24B4">
        <w:t xml:space="preserve">, </w:t>
      </w:r>
      <w:proofErr w:type="spellStart"/>
      <w:r w:rsidRPr="007B24B4">
        <w:t>ул.Пионерская</w:t>
      </w:r>
      <w:proofErr w:type="spellEnd"/>
      <w:r w:rsidRPr="007B24B4">
        <w:t xml:space="preserve">; 11 микрорайон, </w:t>
      </w:r>
      <w:proofErr w:type="spellStart"/>
      <w:r w:rsidRPr="007B24B4">
        <w:t>ул.Транспортная-ул.Центральная</w:t>
      </w:r>
      <w:proofErr w:type="spellEnd"/>
      <w:r w:rsidRPr="007B24B4">
        <w:t xml:space="preserve">; </w:t>
      </w:r>
      <w:proofErr w:type="spellStart"/>
      <w:r w:rsidRPr="007B24B4">
        <w:t>промзона</w:t>
      </w:r>
      <w:proofErr w:type="spellEnd"/>
      <w:r w:rsidRPr="007B24B4">
        <w:t xml:space="preserve"> Юго-Западная, за мкр.СУ-62. </w:t>
      </w:r>
    </w:p>
    <w:p w:rsidR="007B24B4" w:rsidRPr="007B24B4" w:rsidRDefault="007B24B4" w:rsidP="00B776C7">
      <w:pPr>
        <w:ind w:firstLine="708"/>
        <w:jc w:val="both"/>
      </w:pPr>
      <w:r w:rsidRPr="007B24B4">
        <w:t>Во исполнение плана мероприятий регионального проекта «Чистая страна» заключен муниципальный контракт</w:t>
      </w:r>
      <w:r w:rsidR="00B776C7">
        <w:t xml:space="preserve"> в 2018 году </w:t>
      </w:r>
      <w:r w:rsidRPr="007B24B4">
        <w:t xml:space="preserve"> на выполнение проектно-изыскательских работ по рекультивации свалки ТБО на 8 </w:t>
      </w:r>
      <w:proofErr w:type="spellStart"/>
      <w:r w:rsidRPr="007B24B4">
        <w:t>км.автодороги</w:t>
      </w:r>
      <w:proofErr w:type="spellEnd"/>
      <w:r w:rsidRPr="007B24B4">
        <w:t xml:space="preserve"> Нефтеюганск-Сургут № 138-18 от </w:t>
      </w:r>
      <w:r w:rsidRPr="007B24B4">
        <w:lastRenderedPageBreak/>
        <w:t xml:space="preserve">27.07.2018г.В соответствии с условиями муниципального контракта на выполнение проектно-изыскательских работ по рекультивации свалки ТБО на 8 </w:t>
      </w:r>
      <w:proofErr w:type="spellStart"/>
      <w:r w:rsidRPr="007B24B4">
        <w:t>км.автодороги</w:t>
      </w:r>
      <w:proofErr w:type="spellEnd"/>
      <w:r w:rsidRPr="007B24B4">
        <w:t xml:space="preserve"> Нефтеюганск-Сургут № 138-18 от 27.07.2018г получено положительное заключение государственной экологической экспертизы на разработанную проектную документацию.</w:t>
      </w:r>
    </w:p>
    <w:p w:rsidR="007B24B4" w:rsidRPr="007B24B4" w:rsidRDefault="007B24B4" w:rsidP="007B24B4">
      <w:pPr>
        <w:ind w:firstLine="708"/>
        <w:jc w:val="both"/>
      </w:pPr>
      <w:r w:rsidRPr="007B24B4">
        <w:t>Заключение экспертной комиссии государственной экологической экспертизы проектной документации «Рекультивация свалки ТБО на 8 км автодороги Нефтеюганск-Сургут» №18-ээ от 10.08.2020 утверждено приказом Северо-Уральского межрегионального управления Федеральной службы по надзору в сфере природопользования от 10.08.2020 № 305-э.</w:t>
      </w:r>
    </w:p>
    <w:p w:rsidR="007B24B4" w:rsidRPr="007B24B4" w:rsidRDefault="007B24B4" w:rsidP="007B24B4">
      <w:pPr>
        <w:ind w:firstLine="708"/>
        <w:jc w:val="both"/>
      </w:pPr>
      <w:r w:rsidRPr="007B24B4">
        <w:t>22.03.2021 года получено положительное заключение негосударственной экспертизы сметной документации по проекту «Рекультивация свалки на 8 км автодороги Нефтеюганск-Сургут», №86-1-0008-21 от 19.03.2021 года.</w:t>
      </w:r>
    </w:p>
    <w:p w:rsidR="007B24B4" w:rsidRPr="007B24B4" w:rsidRDefault="007B24B4" w:rsidP="007B24B4">
      <w:pPr>
        <w:ind w:firstLine="708"/>
        <w:jc w:val="both"/>
      </w:pPr>
      <w:r w:rsidRPr="007B24B4">
        <w:t>02.04.2021 года распоряжением администрации города Нефтеюганска утверждена проектно-сметная документация по объекту: «Рекультивация свалки 8 км автодороги Сургут-Нефтеюганск», №73-р от 02.04.2021 года.</w:t>
      </w:r>
    </w:p>
    <w:p w:rsidR="007B24B4" w:rsidRPr="007B24B4" w:rsidRDefault="007B24B4" w:rsidP="007B24B4">
      <w:pPr>
        <w:ind w:firstLine="708"/>
        <w:jc w:val="both"/>
      </w:pPr>
      <w:r w:rsidRPr="007B24B4">
        <w:t xml:space="preserve">Собран полный пакет документов для подачи заявки на </w:t>
      </w:r>
      <w:proofErr w:type="spellStart"/>
      <w:r w:rsidRPr="007B24B4">
        <w:t>софинансирование</w:t>
      </w:r>
      <w:proofErr w:type="spellEnd"/>
      <w:r w:rsidRPr="007B24B4">
        <w:t xml:space="preserve"> по проекту «Чистая страна» входящая в портфель проектов «Экология».</w:t>
      </w:r>
    </w:p>
    <w:p w:rsidR="007B24B4" w:rsidRPr="007B24B4" w:rsidRDefault="007B24B4" w:rsidP="007B24B4">
      <w:pPr>
        <w:ind w:firstLine="708"/>
        <w:jc w:val="both"/>
      </w:pPr>
      <w:r w:rsidRPr="007B24B4">
        <w:t>В соответствии с планом мероприятий (Дорожная карта) по прохождению процедур государственных экспертиз и проведению открытого конкурса на рекультивацию земельного участка, на котором расположена свалка твердых бытовых отходов на 8-км автодороги Нефтеюганск-Сургут предусмотрено завершение работ по рекультивации земельного участка – 31.12.2024г.</w:t>
      </w:r>
    </w:p>
    <w:p w:rsidR="007B24B4" w:rsidRPr="007B24B4" w:rsidRDefault="007B24B4" w:rsidP="007B24B4">
      <w:pPr>
        <w:ind w:firstLine="708"/>
        <w:jc w:val="both"/>
      </w:pPr>
      <w:r w:rsidRPr="007B24B4">
        <w:t xml:space="preserve">Запланированные мероприятия исполняются в срок и в соответствии с данной Дорожной картой. </w:t>
      </w:r>
    </w:p>
    <w:p w:rsidR="007B24B4" w:rsidRPr="00027C9D" w:rsidRDefault="007B24B4" w:rsidP="007B24B4">
      <w:pPr>
        <w:ind w:firstLine="708"/>
        <w:jc w:val="both"/>
        <w:rPr>
          <w:u w:val="single"/>
        </w:rPr>
      </w:pPr>
      <w:r w:rsidRPr="00027C9D">
        <w:rPr>
          <w:u w:val="single"/>
        </w:rPr>
        <w:t xml:space="preserve"> В соответствии с календарным планом федерального проекта «Чистая страна» национального проекта «Экология» установлены сроки достижения следующих показателей:</w:t>
      </w:r>
    </w:p>
    <w:p w:rsidR="007B24B4" w:rsidRPr="007B24B4" w:rsidRDefault="007B24B4" w:rsidP="007B24B4">
      <w:pPr>
        <w:ind w:firstLine="708"/>
        <w:jc w:val="both"/>
        <w:rPr>
          <w:shd w:val="clear" w:color="auto" w:fill="FFFFFF"/>
        </w:rPr>
      </w:pPr>
      <w:r w:rsidRPr="007B24B4">
        <w:rPr>
          <w:shd w:val="clear" w:color="auto" w:fill="FFFFFF"/>
        </w:rPr>
        <w:t>- разработать конкурсную документацию на выполнение работ по рекультивации земельного участка – 20.12.2021; </w:t>
      </w:r>
    </w:p>
    <w:p w:rsidR="007B24B4" w:rsidRPr="007B24B4" w:rsidRDefault="007B24B4" w:rsidP="007B24B4">
      <w:pPr>
        <w:widowControl w:val="0"/>
        <w:suppressAutoHyphens/>
        <w:autoSpaceDE w:val="0"/>
        <w:autoSpaceDN w:val="0"/>
        <w:ind w:firstLine="708"/>
        <w:contextualSpacing/>
        <w:jc w:val="both"/>
        <w:rPr>
          <w:shd w:val="clear" w:color="auto" w:fill="FFFFFF"/>
        </w:rPr>
      </w:pPr>
      <w:r w:rsidRPr="007B24B4">
        <w:rPr>
          <w:shd w:val="clear" w:color="auto" w:fill="FFFFFF"/>
        </w:rPr>
        <w:t>- подготовка и размещение извещения о закупке;</w:t>
      </w:r>
    </w:p>
    <w:p w:rsidR="007B24B4" w:rsidRPr="007B24B4" w:rsidRDefault="007B24B4" w:rsidP="007B24B4">
      <w:pPr>
        <w:widowControl w:val="0"/>
        <w:suppressAutoHyphens/>
        <w:autoSpaceDE w:val="0"/>
        <w:autoSpaceDN w:val="0"/>
        <w:ind w:firstLine="709"/>
        <w:contextualSpacing/>
        <w:jc w:val="both"/>
        <w:rPr>
          <w:shd w:val="clear" w:color="auto" w:fill="FFFFFF"/>
        </w:rPr>
      </w:pPr>
      <w:r w:rsidRPr="007B24B4">
        <w:rPr>
          <w:shd w:val="clear" w:color="auto" w:fill="FFFFFF"/>
        </w:rPr>
        <w:t xml:space="preserve">- завершение конкурсной процедуры по отбору подрядной организации на выполнение работ по рекультивации земельного участка, на котором расположена свалка твердых бытовых отходов на 8-км автодороги Нефтеюганск-Сургут не позднее 18.02.2022 в соответствии с рекомендациями </w:t>
      </w:r>
      <w:proofErr w:type="spellStart"/>
      <w:r w:rsidRPr="007B24B4">
        <w:rPr>
          <w:shd w:val="clear" w:color="auto" w:fill="FFFFFF"/>
        </w:rPr>
        <w:t>Природнадзора</w:t>
      </w:r>
      <w:proofErr w:type="spellEnd"/>
      <w:r w:rsidRPr="007B24B4">
        <w:rPr>
          <w:shd w:val="clear" w:color="auto" w:fill="FFFFFF"/>
        </w:rPr>
        <w:t xml:space="preserve"> Югры направленные письмом от 18.11.2021 №31-02-10136;</w:t>
      </w:r>
    </w:p>
    <w:p w:rsidR="007B24B4" w:rsidRPr="007B24B4" w:rsidRDefault="007B24B4" w:rsidP="007B24B4">
      <w:pPr>
        <w:widowControl w:val="0"/>
        <w:suppressAutoHyphens/>
        <w:autoSpaceDE w:val="0"/>
        <w:autoSpaceDN w:val="0"/>
        <w:ind w:firstLine="709"/>
        <w:contextualSpacing/>
        <w:jc w:val="both"/>
      </w:pPr>
      <w:r w:rsidRPr="007B24B4">
        <w:t xml:space="preserve">- заключение контракта на выполнение работ по рекультивации земельного участка не позднее 28.02.2022 </w:t>
      </w:r>
      <w:r w:rsidRPr="007B24B4">
        <w:rPr>
          <w:shd w:val="clear" w:color="auto" w:fill="FFFFFF"/>
        </w:rPr>
        <w:t xml:space="preserve">в соответствии с рекомендациями </w:t>
      </w:r>
      <w:proofErr w:type="spellStart"/>
      <w:r w:rsidRPr="007B24B4">
        <w:rPr>
          <w:shd w:val="clear" w:color="auto" w:fill="FFFFFF"/>
        </w:rPr>
        <w:t>Природнадзора</w:t>
      </w:r>
      <w:proofErr w:type="spellEnd"/>
      <w:r w:rsidRPr="007B24B4">
        <w:rPr>
          <w:shd w:val="clear" w:color="auto" w:fill="FFFFFF"/>
        </w:rPr>
        <w:t xml:space="preserve"> Югры направленные письмом от 18.11.2021 №31-02-10136</w:t>
      </w:r>
      <w:r w:rsidRPr="007B24B4">
        <w:t>;</w:t>
      </w:r>
    </w:p>
    <w:p w:rsidR="007B24B4" w:rsidRPr="007B24B4" w:rsidRDefault="007B24B4" w:rsidP="007B24B4">
      <w:pPr>
        <w:ind w:firstLine="708"/>
        <w:jc w:val="both"/>
      </w:pPr>
      <w:r w:rsidRPr="007B24B4">
        <w:t xml:space="preserve">Заказчиком – НГ МКУ КХ «Служба единого заказчика» подготовлен проект технического задания на выполнение строительно-монтажных работ в соответствии с утверждённой проектно-сметной документацией. </w:t>
      </w:r>
    </w:p>
    <w:p w:rsidR="007B24B4" w:rsidRPr="007B24B4" w:rsidRDefault="007B24B4" w:rsidP="007B24B4">
      <w:pPr>
        <w:ind w:firstLine="708"/>
        <w:jc w:val="both"/>
        <w:rPr>
          <w:rFonts w:eastAsia="Calibri"/>
          <w:color w:val="000000"/>
          <w:shd w:val="clear" w:color="auto" w:fill="FFFFFF"/>
          <w:lang w:eastAsia="en-US"/>
        </w:rPr>
      </w:pPr>
      <w:r w:rsidRPr="007B24B4">
        <w:t xml:space="preserve">Проект технического задания направлен на согласование в </w:t>
      </w:r>
      <w:proofErr w:type="spellStart"/>
      <w:r w:rsidRPr="007B24B4">
        <w:t>Природнадзор</w:t>
      </w:r>
      <w:proofErr w:type="spellEnd"/>
      <w:r w:rsidRPr="007B24B4">
        <w:t xml:space="preserve"> Югры, а также для согласования </w:t>
      </w:r>
      <w:r w:rsidRPr="007B24B4">
        <w:rPr>
          <w:rFonts w:eastAsia="Calibri"/>
          <w:color w:val="000000"/>
          <w:shd w:val="clear" w:color="auto" w:fill="FFFFFF"/>
          <w:lang w:eastAsia="en-US"/>
        </w:rPr>
        <w:t>в ДГИЗО и ДМИ.</w:t>
      </w:r>
    </w:p>
    <w:p w:rsidR="007B24B4" w:rsidRDefault="007B24B4" w:rsidP="00220BF2">
      <w:pPr>
        <w:jc w:val="both"/>
      </w:pPr>
    </w:p>
    <w:p w:rsidR="0082003F" w:rsidRPr="00902097" w:rsidRDefault="0082003F" w:rsidP="00902097">
      <w:pPr>
        <w:jc w:val="both"/>
      </w:pPr>
      <w:r w:rsidRPr="00902097">
        <w:t xml:space="preserve">Региональный проект «Формирование комплексной системы обращения с твердыми коммунальными отходами» - это строительство комплексного межмуниципального полигона ТКО в Нефтеюганском районе, где муниципальное образование </w:t>
      </w:r>
      <w:proofErr w:type="spellStart"/>
      <w:r w:rsidRPr="00902097">
        <w:t>г.Нефтеюганск</w:t>
      </w:r>
      <w:proofErr w:type="spellEnd"/>
      <w:r w:rsidRPr="00902097">
        <w:t xml:space="preserve"> состоит как участник. А также внедрение системы </w:t>
      </w:r>
      <w:proofErr w:type="spellStart"/>
      <w:r w:rsidRPr="00902097">
        <w:t>двухконтейнерного</w:t>
      </w:r>
      <w:proofErr w:type="spellEnd"/>
      <w:r w:rsidRPr="00902097">
        <w:t xml:space="preserve"> накопления: влажные (органические) отходы и смешанные сухие отходы в </w:t>
      </w:r>
      <w:proofErr w:type="spellStart"/>
      <w:r w:rsidRPr="00902097">
        <w:t>г.Нефтеюганске</w:t>
      </w:r>
      <w:proofErr w:type="spellEnd"/>
      <w:r w:rsidRPr="00902097">
        <w:t xml:space="preserve"> (пилотный проект).</w:t>
      </w:r>
    </w:p>
    <w:p w:rsidR="0082003F" w:rsidRPr="00902097" w:rsidRDefault="0082003F" w:rsidP="0082003F">
      <w:pPr>
        <w:ind w:firstLine="709"/>
        <w:jc w:val="both"/>
        <w:rPr>
          <w:bCs/>
        </w:rPr>
      </w:pPr>
      <w:r w:rsidRPr="00902097">
        <w:rPr>
          <w:bCs/>
        </w:rPr>
        <w:t xml:space="preserve">В муниципальном образовании город Нефтеюганск ориентировочно с 2 квартала 2022 года планируется к запуску пилотный проект по раздельному накоплению ТКО. </w:t>
      </w:r>
      <w:r w:rsidRPr="00902097">
        <w:rPr>
          <w:bCs/>
        </w:rPr>
        <w:lastRenderedPageBreak/>
        <w:t>Жителям будет предложено раздельно накапливать сухие и влажные отходы: в синие контейнеры будут складывать сухие отходы (бумага, стекло и пластик), а в серые контейнеры-влажные отходы Данный пилотный проект будет запущен при условии введения в эксплуатацию нового межмуниципального комплексного полигона (по плану ввод в эксплуатацию - 2 квартал 2022 года).</w:t>
      </w:r>
    </w:p>
    <w:p w:rsidR="0082003F" w:rsidRPr="00902097" w:rsidRDefault="0082003F" w:rsidP="0082003F">
      <w:pPr>
        <w:jc w:val="both"/>
        <w:rPr>
          <w:color w:val="000000" w:themeColor="text1"/>
        </w:rPr>
      </w:pPr>
      <w:r w:rsidRPr="00902097">
        <w:rPr>
          <w:color w:val="000000" w:themeColor="text1"/>
        </w:rPr>
        <w:t xml:space="preserve">В бюджете муниципального образования </w:t>
      </w:r>
      <w:proofErr w:type="spellStart"/>
      <w:r w:rsidRPr="00902097">
        <w:rPr>
          <w:color w:val="000000" w:themeColor="text1"/>
        </w:rPr>
        <w:t>г.Нефтеюганск</w:t>
      </w:r>
      <w:proofErr w:type="spellEnd"/>
      <w:r w:rsidRPr="00902097">
        <w:rPr>
          <w:color w:val="000000" w:themeColor="text1"/>
        </w:rPr>
        <w:t xml:space="preserve"> заложены финансовые средства на ежегодные расходы по ликвидации мест несанкционированных свалок в 2020 г. и планируемые 2021, 2022 г., в размере 200 000 рублей. </w:t>
      </w:r>
    </w:p>
    <w:p w:rsidR="0082003F" w:rsidRPr="00902097" w:rsidRDefault="0082003F" w:rsidP="0082003F">
      <w:pPr>
        <w:ind w:firstLine="708"/>
        <w:jc w:val="both"/>
        <w:rPr>
          <w:color w:val="000000" w:themeColor="text1"/>
        </w:rPr>
      </w:pPr>
      <w:r w:rsidRPr="00902097">
        <w:rPr>
          <w:color w:val="000000" w:themeColor="text1"/>
        </w:rPr>
        <w:t>Объём финансирования утверждён решением Думы города Нефтеюганска №700-</w:t>
      </w:r>
      <w:r w:rsidRPr="00902097">
        <w:rPr>
          <w:color w:val="000000" w:themeColor="text1"/>
          <w:lang w:val="en-US"/>
        </w:rPr>
        <w:t>VI</w:t>
      </w:r>
      <w:r w:rsidRPr="00902097">
        <w:rPr>
          <w:color w:val="000000" w:themeColor="text1"/>
        </w:rPr>
        <w:t xml:space="preserve"> от 24 декабря 2019 года «О бюджете города Нефтеюганска на 2020 год и плановый период 2021 и 2022 годов». В связи с тем, что данных средств недостаточно для ликвидации несанкционированных свалок, по запросу департамента ЖКХ выделено дополнительное финансирование на ликвидацию свалок в 2021 году в размере 3 510 816,63 руб., из которых средства в размере 486 621,63 руб. будут направлены на ликвидацию свалок отработанных пневматических шин.</w:t>
      </w:r>
    </w:p>
    <w:p w:rsidR="0082003F" w:rsidRPr="00902097" w:rsidRDefault="0082003F" w:rsidP="0082003F">
      <w:pPr>
        <w:ind w:firstLine="708"/>
        <w:jc w:val="both"/>
        <w:rPr>
          <w:color w:val="000000" w:themeColor="text1"/>
        </w:rPr>
      </w:pPr>
      <w:r w:rsidRPr="00902097">
        <w:rPr>
          <w:color w:val="000000" w:themeColor="text1"/>
        </w:rPr>
        <w:t>15.04.2021 заключен муниципальный контракт № ЭА.2021.00013 на оказание услуг по ликвидации несанкционированных свалок (отработанные пневматические шины) на сумму 296 808,27 рублей (исполнитель -  Общество с ограниченной ответственностью «</w:t>
      </w:r>
      <w:proofErr w:type="spellStart"/>
      <w:r w:rsidRPr="00902097">
        <w:rPr>
          <w:color w:val="000000" w:themeColor="text1"/>
        </w:rPr>
        <w:t>Утилитсервис</w:t>
      </w:r>
      <w:proofErr w:type="spellEnd"/>
      <w:r w:rsidRPr="00902097">
        <w:rPr>
          <w:color w:val="000000" w:themeColor="text1"/>
        </w:rPr>
        <w:t xml:space="preserve">»). </w:t>
      </w:r>
    </w:p>
    <w:p w:rsidR="0082003F" w:rsidRPr="00902097" w:rsidRDefault="0082003F" w:rsidP="0082003F">
      <w:pPr>
        <w:ind w:firstLine="708"/>
        <w:jc w:val="both"/>
        <w:rPr>
          <w:color w:val="000000" w:themeColor="text1"/>
        </w:rPr>
      </w:pPr>
      <w:r w:rsidRPr="00902097">
        <w:rPr>
          <w:color w:val="000000" w:themeColor="text1"/>
        </w:rPr>
        <w:t>Работы по ликвидации несанкционированных свалок (пневматических шин) по данному контракту выполнены в полном объёме.  Собрано и утилизировано 36,104 тонн пневматических шин.</w:t>
      </w:r>
    </w:p>
    <w:p w:rsidR="0082003F" w:rsidRPr="00902097" w:rsidRDefault="0082003F" w:rsidP="0082003F">
      <w:pPr>
        <w:ind w:firstLine="708"/>
        <w:jc w:val="both"/>
        <w:rPr>
          <w:color w:val="000000" w:themeColor="text1"/>
        </w:rPr>
      </w:pPr>
      <w:r w:rsidRPr="00902097">
        <w:rPr>
          <w:color w:val="000000" w:themeColor="text1"/>
        </w:rPr>
        <w:t>В рамках дополнительно выделенного финансирования по результатам проведенного аукциона заключен муниципальный контракт № ЭА.2021.00089 от 17.09.2021 на оказание услуг по ликвидации несанкционированных свалок на территории муниципального образования г. Нефтеюганск на сумму 3 224 195,00 рублей, исполнитель - Общество с ограниченной ответственностью «ВТОР РЕСУРС».</w:t>
      </w:r>
    </w:p>
    <w:p w:rsidR="0082003F" w:rsidRPr="00902097" w:rsidRDefault="0082003F" w:rsidP="0082003F">
      <w:pPr>
        <w:ind w:firstLine="708"/>
        <w:jc w:val="both"/>
        <w:rPr>
          <w:color w:val="000000" w:themeColor="text1"/>
        </w:rPr>
      </w:pPr>
      <w:r w:rsidRPr="00902097">
        <w:rPr>
          <w:color w:val="000000" w:themeColor="text1"/>
        </w:rPr>
        <w:t xml:space="preserve">Исполнителем выполнены работы по ликвидации несанкционированных свалок по следующим адресам: </w:t>
      </w:r>
      <w:proofErr w:type="spellStart"/>
      <w:r w:rsidRPr="00902097">
        <w:rPr>
          <w:color w:val="000000" w:themeColor="text1"/>
        </w:rPr>
        <w:t>ул.Энергетиков</w:t>
      </w:r>
      <w:proofErr w:type="spellEnd"/>
      <w:r w:rsidRPr="00902097">
        <w:rPr>
          <w:color w:val="000000" w:themeColor="text1"/>
        </w:rPr>
        <w:t xml:space="preserve"> (прилегающие территории вдоль автодороги); конечная улица Усть-Балыкская, район старого аэропорта, ГСК «Обь»; 11А микрорайон, </w:t>
      </w:r>
      <w:proofErr w:type="spellStart"/>
      <w:r w:rsidRPr="00902097">
        <w:rPr>
          <w:color w:val="000000" w:themeColor="text1"/>
        </w:rPr>
        <w:t>ул.Дорожная</w:t>
      </w:r>
      <w:proofErr w:type="spellEnd"/>
      <w:r w:rsidRPr="00902097">
        <w:rPr>
          <w:color w:val="000000" w:themeColor="text1"/>
        </w:rPr>
        <w:t xml:space="preserve">, </w:t>
      </w:r>
      <w:proofErr w:type="spellStart"/>
      <w:r w:rsidRPr="00902097">
        <w:rPr>
          <w:color w:val="000000" w:themeColor="text1"/>
        </w:rPr>
        <w:t>ул.Пионерская</w:t>
      </w:r>
      <w:proofErr w:type="spellEnd"/>
      <w:r w:rsidRPr="00902097">
        <w:rPr>
          <w:color w:val="000000" w:themeColor="text1"/>
        </w:rPr>
        <w:t xml:space="preserve">; 11 микрорайон, </w:t>
      </w:r>
      <w:proofErr w:type="spellStart"/>
      <w:r w:rsidRPr="00902097">
        <w:rPr>
          <w:color w:val="000000" w:themeColor="text1"/>
        </w:rPr>
        <w:t>ул.Транспортная-ул.Центральная</w:t>
      </w:r>
      <w:proofErr w:type="spellEnd"/>
      <w:r w:rsidRPr="00902097">
        <w:rPr>
          <w:color w:val="000000" w:themeColor="text1"/>
        </w:rPr>
        <w:t xml:space="preserve">; </w:t>
      </w:r>
      <w:proofErr w:type="spellStart"/>
      <w:r w:rsidRPr="00902097">
        <w:rPr>
          <w:color w:val="000000" w:themeColor="text1"/>
        </w:rPr>
        <w:t>промзона</w:t>
      </w:r>
      <w:proofErr w:type="spellEnd"/>
      <w:r w:rsidRPr="00902097">
        <w:rPr>
          <w:color w:val="000000" w:themeColor="text1"/>
        </w:rPr>
        <w:t xml:space="preserve"> Юго-Западная, за СУ-62. </w:t>
      </w:r>
    </w:p>
    <w:p w:rsidR="0082003F" w:rsidRPr="00902097" w:rsidRDefault="0082003F" w:rsidP="00027C9D">
      <w:pPr>
        <w:jc w:val="both"/>
        <w:rPr>
          <w:rFonts w:cs="Calibri"/>
        </w:rPr>
      </w:pPr>
    </w:p>
    <w:p w:rsidR="00DD41AC" w:rsidRPr="00902097" w:rsidRDefault="00DD41AC" w:rsidP="00DD41AC">
      <w:pPr>
        <w:ind w:left="142"/>
        <w:jc w:val="both"/>
      </w:pPr>
      <w:r w:rsidRPr="00902097">
        <w:t>Ежегодно организуются и проводятся многочисленные эколого-просветительские и практические природоохранные мероприятия, приуроченные к Международной экологической акции «Спасти и сохранить». Одним из основных практических мероприятий в рамках Акции является организация и проведение субботников по очистке (в рамках исполнения регионального проекта «Сохранение уникальных водных объектов) и озеленению территории города.</w:t>
      </w:r>
    </w:p>
    <w:p w:rsidR="00DD41AC" w:rsidRPr="00902097" w:rsidRDefault="00DD41AC" w:rsidP="00DD41AC">
      <w:pPr>
        <w:ind w:firstLine="708"/>
        <w:jc w:val="both"/>
        <w:rPr>
          <w:bCs/>
        </w:rPr>
      </w:pPr>
      <w:r w:rsidRPr="00902097">
        <w:t>Проводимые мероприятия по оздоровлению экологической обстановки в Нефтеюганске в 2021 году, распоряжения и постановления администрации города в целях охраны окружающей среды, находящиеся на контроле в 2021 году:</w:t>
      </w:r>
      <w:r w:rsidRPr="00902097">
        <w:rPr>
          <w:rFonts w:cs="Calibri"/>
        </w:rPr>
        <w:t xml:space="preserve">- В соответствии с </w:t>
      </w:r>
      <w:r w:rsidRPr="00902097">
        <w:rPr>
          <w:bCs/>
        </w:rPr>
        <w:t>постановлением администрации города от 07.04.2021 № 481-п «О проведении мероприятий санитарной очистки, благоустройства и озеленения территории города Нефтеюганска», постановлением администрации города от 19.04.2021 № 539-к «О проведении Всероссийского субботника на территории города Нефтеюганска» на территории города 24.04.2021 и 21.05.2021, а также в соответствии с постановлением от 21.09.2021 № 1590-п «О проведении мероприятий санитарной очистки территории города Нефтеюганска» 01 октября 2021 организованы и проведены общегородские субботники по санитарной очистке территории города Нефтеюганска.</w:t>
      </w:r>
    </w:p>
    <w:p w:rsidR="00DD41AC" w:rsidRPr="00902097" w:rsidRDefault="00DD41AC" w:rsidP="00DD41AC">
      <w:pPr>
        <w:ind w:firstLine="708"/>
        <w:jc w:val="both"/>
        <w:rPr>
          <w:bCs/>
        </w:rPr>
      </w:pPr>
      <w:r w:rsidRPr="00902097">
        <w:rPr>
          <w:bCs/>
        </w:rPr>
        <w:t xml:space="preserve">Согласно дислокации мест проведения субботника, была проведена санитарная очистка береговой зоны водных объектов </w:t>
      </w:r>
      <w:proofErr w:type="spellStart"/>
      <w:r w:rsidRPr="00902097">
        <w:rPr>
          <w:bCs/>
        </w:rPr>
        <w:t>г.Нефтеюганска</w:t>
      </w:r>
      <w:proofErr w:type="spellEnd"/>
      <w:r w:rsidRPr="00902097">
        <w:rPr>
          <w:bCs/>
        </w:rPr>
        <w:t xml:space="preserve">, в рамках регионального </w:t>
      </w:r>
      <w:r w:rsidRPr="00902097">
        <w:rPr>
          <w:bCs/>
        </w:rPr>
        <w:lastRenderedPageBreak/>
        <w:t>проекта «Сохранение уникальных водных объектов», а также очистка территории по периметру жилой застройки города Нефтеюганска:</w:t>
      </w:r>
    </w:p>
    <w:p w:rsidR="00DD41AC" w:rsidRPr="00902097" w:rsidRDefault="00DD41AC" w:rsidP="00DD41AC">
      <w:pPr>
        <w:ind w:firstLine="708"/>
        <w:jc w:val="both"/>
        <w:rPr>
          <w:bCs/>
        </w:rPr>
      </w:pPr>
      <w:r w:rsidRPr="00902097">
        <w:rPr>
          <w:bCs/>
        </w:rPr>
        <w:t>1.Территория перед зданием нового Аэропорта, окрестность.</w:t>
      </w:r>
    </w:p>
    <w:p w:rsidR="00DD41AC" w:rsidRPr="00902097" w:rsidRDefault="00DD41AC" w:rsidP="00DD41AC">
      <w:pPr>
        <w:ind w:firstLine="708"/>
        <w:jc w:val="both"/>
        <w:rPr>
          <w:bCs/>
        </w:rPr>
      </w:pPr>
      <w:r w:rsidRPr="00902097">
        <w:t xml:space="preserve">2.Территория вдоль дороги (с обоих сторон) от перекрестка </w:t>
      </w:r>
      <w:proofErr w:type="spellStart"/>
      <w:r w:rsidRPr="00902097">
        <w:t>ул.Ленина</w:t>
      </w:r>
      <w:proofErr w:type="spellEnd"/>
      <w:r w:rsidRPr="00902097">
        <w:t>-Объездная в сторону нового аэропорта (до поворота на автостоянку).</w:t>
      </w:r>
    </w:p>
    <w:p w:rsidR="00DD41AC" w:rsidRPr="00902097" w:rsidRDefault="00DD41AC" w:rsidP="00DD41AC">
      <w:pPr>
        <w:ind w:firstLine="708"/>
        <w:jc w:val="both"/>
        <w:rPr>
          <w:bCs/>
        </w:rPr>
      </w:pPr>
      <w:r w:rsidRPr="00902097">
        <w:rPr>
          <w:bCs/>
        </w:rPr>
        <w:t>3.Набережная, от территории за «парком аттракционов» (на данный момент строительная площадка) до памятника «Первопроходцам» вдоль берега.</w:t>
      </w:r>
    </w:p>
    <w:p w:rsidR="00DD41AC" w:rsidRPr="00902097" w:rsidRDefault="00DD41AC" w:rsidP="00DD41AC">
      <w:pPr>
        <w:ind w:firstLine="708"/>
        <w:jc w:val="both"/>
        <w:rPr>
          <w:bCs/>
        </w:rPr>
      </w:pPr>
      <w:r w:rsidRPr="00902097">
        <w:rPr>
          <w:bCs/>
        </w:rPr>
        <w:t>4.Территория за памятником «Первопроходцам» вдоль береговой полосы, лесного участка, включая территорию вдоль тротуара в сторону 15 микрорайона.</w:t>
      </w:r>
    </w:p>
    <w:p w:rsidR="00DD41AC" w:rsidRPr="00902097" w:rsidRDefault="00DD41AC" w:rsidP="00DD41AC">
      <w:pPr>
        <w:ind w:firstLine="708"/>
        <w:jc w:val="both"/>
        <w:rPr>
          <w:bCs/>
        </w:rPr>
      </w:pPr>
      <w:r w:rsidRPr="00902097">
        <w:rPr>
          <w:bCs/>
        </w:rPr>
        <w:t>5.Береговая зона протоки Юганская Обь возле подстанции напротив ТЦ «Европейский».</w:t>
      </w:r>
    </w:p>
    <w:p w:rsidR="00DD41AC" w:rsidRPr="00902097" w:rsidRDefault="00DD41AC" w:rsidP="00DD41AC">
      <w:pPr>
        <w:ind w:firstLine="708"/>
        <w:jc w:val="both"/>
        <w:rPr>
          <w:bCs/>
        </w:rPr>
      </w:pPr>
      <w:r w:rsidRPr="00902097">
        <w:rPr>
          <w:bCs/>
        </w:rPr>
        <w:t>6.Береговая зона протоки Юганская Обь в районе 17 микрорайона.</w:t>
      </w:r>
    </w:p>
    <w:p w:rsidR="00DD41AC" w:rsidRPr="00902097" w:rsidRDefault="00DD41AC" w:rsidP="00DD41AC">
      <w:pPr>
        <w:ind w:firstLine="708"/>
        <w:jc w:val="both"/>
        <w:rPr>
          <w:bCs/>
        </w:rPr>
      </w:pPr>
      <w:r w:rsidRPr="00902097">
        <w:rPr>
          <w:bCs/>
        </w:rPr>
        <w:t>7.Береговая зона протоки Юганская Обь в районе моста (поворот налево перед въездом на Мостотряд-15) включая территорию от поворота на берег и склон вдоль автодороги.</w:t>
      </w:r>
    </w:p>
    <w:p w:rsidR="00DD41AC" w:rsidRPr="00902097" w:rsidRDefault="00DD41AC" w:rsidP="00DD41AC">
      <w:pPr>
        <w:ind w:firstLine="708"/>
        <w:jc w:val="both"/>
      </w:pPr>
      <w:r w:rsidRPr="00902097">
        <w:rPr>
          <w:bCs/>
        </w:rPr>
        <w:t>8.</w:t>
      </w:r>
      <w:r w:rsidRPr="00902097">
        <w:t xml:space="preserve"> Территория в районе голубого озера. От Озёрного проезда (координаты: 61.084938, 72.653466) до Кафе «Причал». </w:t>
      </w:r>
    </w:p>
    <w:p w:rsidR="00DD41AC" w:rsidRPr="00902097" w:rsidRDefault="00DD41AC" w:rsidP="00DD41AC">
      <w:pPr>
        <w:ind w:firstLine="708"/>
        <w:jc w:val="both"/>
      </w:pPr>
      <w:r w:rsidRPr="00902097">
        <w:t xml:space="preserve">9.Территория в районе протоки </w:t>
      </w:r>
      <w:proofErr w:type="spellStart"/>
      <w:r w:rsidRPr="00902097">
        <w:t>Акопас</w:t>
      </w:r>
      <w:proofErr w:type="spellEnd"/>
      <w:r w:rsidRPr="00902097">
        <w:t>, включая дорогу, ведущую к водному объекту (Озёрный проезд) (координаты:  61.081130, 72.639918 – 61.086961, 72.652729).</w:t>
      </w:r>
    </w:p>
    <w:p w:rsidR="00DD41AC" w:rsidRPr="00902097" w:rsidRDefault="00DD41AC" w:rsidP="00DD41AC">
      <w:pPr>
        <w:ind w:firstLine="708"/>
        <w:jc w:val="both"/>
      </w:pPr>
      <w:r w:rsidRPr="00902097">
        <w:t>10.Территория от автомобильной развязки до отворота на КНС -4 (Территория скважины Р-63), б</w:t>
      </w:r>
      <w:r w:rsidRPr="00902097">
        <w:rPr>
          <w:bCs/>
        </w:rPr>
        <w:t>ереговая зона протоки Юганская Обь</w:t>
      </w:r>
      <w:r w:rsidRPr="00902097">
        <w:t>.</w:t>
      </w:r>
    </w:p>
    <w:p w:rsidR="00DD41AC" w:rsidRPr="00902097" w:rsidRDefault="00DD41AC" w:rsidP="00DD41AC">
      <w:pPr>
        <w:ind w:firstLine="708"/>
        <w:jc w:val="both"/>
        <w:rPr>
          <w:bCs/>
        </w:rPr>
      </w:pPr>
      <w:r w:rsidRPr="00902097">
        <w:rPr>
          <w:bCs/>
        </w:rPr>
        <w:t>11.Территория скважины Р-63 (включая дорогу при въезде на скважину начиная с причала СУ-905).</w:t>
      </w:r>
    </w:p>
    <w:p w:rsidR="00DD41AC" w:rsidRPr="00902097" w:rsidRDefault="00DD41AC" w:rsidP="00DD41AC">
      <w:pPr>
        <w:ind w:firstLine="708"/>
        <w:jc w:val="both"/>
        <w:rPr>
          <w:bCs/>
        </w:rPr>
      </w:pPr>
      <w:r w:rsidRPr="00902097">
        <w:rPr>
          <w:bCs/>
        </w:rPr>
        <w:t xml:space="preserve">12. Береговая полоса протоки </w:t>
      </w:r>
      <w:proofErr w:type="spellStart"/>
      <w:r w:rsidRPr="00902097">
        <w:rPr>
          <w:bCs/>
        </w:rPr>
        <w:t>Акопас</w:t>
      </w:r>
      <w:proofErr w:type="spellEnd"/>
      <w:r w:rsidRPr="00902097">
        <w:rPr>
          <w:bCs/>
        </w:rPr>
        <w:t xml:space="preserve"> (начиная от дороги напротив 13 микрорайона до пляжа).</w:t>
      </w:r>
    </w:p>
    <w:p w:rsidR="00DD41AC" w:rsidRPr="00902097" w:rsidRDefault="00DD41AC" w:rsidP="00DD41AC">
      <w:pPr>
        <w:ind w:firstLine="708"/>
        <w:jc w:val="both"/>
        <w:rPr>
          <w:bCs/>
        </w:rPr>
      </w:pPr>
      <w:r w:rsidRPr="00902097">
        <w:rPr>
          <w:bCs/>
        </w:rPr>
        <w:t>13.Береговая зона протоки Юганская Обь от памятника «Первопроходцам» до бывшего магазина «</w:t>
      </w:r>
      <w:proofErr w:type="spellStart"/>
      <w:r w:rsidRPr="00902097">
        <w:rPr>
          <w:bCs/>
        </w:rPr>
        <w:t>Позитроника</w:t>
      </w:r>
      <w:proofErr w:type="spellEnd"/>
      <w:r w:rsidRPr="00902097">
        <w:rPr>
          <w:bCs/>
        </w:rPr>
        <w:t>» вдоль берега.</w:t>
      </w:r>
    </w:p>
    <w:p w:rsidR="00DD41AC" w:rsidRPr="00902097" w:rsidRDefault="00DD41AC" w:rsidP="00DD41AC">
      <w:pPr>
        <w:ind w:firstLine="708"/>
        <w:jc w:val="both"/>
        <w:rPr>
          <w:bCs/>
        </w:rPr>
      </w:pPr>
      <w:r w:rsidRPr="00902097">
        <w:rPr>
          <w:bCs/>
        </w:rPr>
        <w:t>14.11 Б» микрорайон СОШ №14 (пустырь по периметру школы).</w:t>
      </w:r>
    </w:p>
    <w:p w:rsidR="00DD41AC" w:rsidRPr="00902097" w:rsidRDefault="00DD41AC" w:rsidP="00DD41AC">
      <w:pPr>
        <w:ind w:firstLine="708"/>
        <w:jc w:val="both"/>
        <w:rPr>
          <w:bCs/>
        </w:rPr>
      </w:pPr>
      <w:r w:rsidRPr="00902097">
        <w:rPr>
          <w:bCs/>
        </w:rPr>
        <w:t>15.Территория 11 микрорайона пустырь напротив школы-интерната.</w:t>
      </w:r>
    </w:p>
    <w:p w:rsidR="00DD41AC" w:rsidRPr="00902097" w:rsidRDefault="00DD41AC" w:rsidP="00DD41AC">
      <w:pPr>
        <w:ind w:firstLine="708"/>
        <w:jc w:val="both"/>
      </w:pPr>
      <w:r w:rsidRPr="00902097">
        <w:t xml:space="preserve">16.Территория от </w:t>
      </w:r>
      <w:proofErr w:type="spellStart"/>
      <w:r w:rsidRPr="00902097">
        <w:t>ул.Строителей</w:t>
      </w:r>
      <w:proofErr w:type="spellEnd"/>
      <w:r w:rsidRPr="00902097">
        <w:t xml:space="preserve"> до </w:t>
      </w:r>
      <w:proofErr w:type="spellStart"/>
      <w:r w:rsidRPr="00902097">
        <w:t>ул.Сургутская</w:t>
      </w:r>
      <w:proofErr w:type="spellEnd"/>
      <w:r w:rsidRPr="00902097">
        <w:t xml:space="preserve"> (пешеходная дорожка между зданиями </w:t>
      </w:r>
      <w:proofErr w:type="spellStart"/>
      <w:r w:rsidRPr="00902097">
        <w:t>Нефтеюганского</w:t>
      </w:r>
      <w:proofErr w:type="spellEnd"/>
      <w:r w:rsidRPr="00902097">
        <w:t xml:space="preserve"> индустриального колледжа)</w:t>
      </w:r>
    </w:p>
    <w:p w:rsidR="00DD41AC" w:rsidRPr="00902097" w:rsidRDefault="00DD41AC" w:rsidP="00DD41AC">
      <w:pPr>
        <w:ind w:firstLine="708"/>
        <w:jc w:val="both"/>
      </w:pPr>
      <w:r w:rsidRPr="00902097">
        <w:t xml:space="preserve">17.Территория в районе перекрёстка </w:t>
      </w:r>
      <w:proofErr w:type="spellStart"/>
      <w:r w:rsidRPr="00902097">
        <w:t>ул.Р.Кузоваткина</w:t>
      </w:r>
      <w:proofErr w:type="spellEnd"/>
      <w:r w:rsidRPr="00902097">
        <w:t xml:space="preserve"> и </w:t>
      </w:r>
      <w:proofErr w:type="spellStart"/>
      <w:r w:rsidRPr="00902097">
        <w:t>ул.Мамонтовская</w:t>
      </w:r>
      <w:proofErr w:type="spellEnd"/>
      <w:r w:rsidRPr="00902097">
        <w:t xml:space="preserve"> (напротив дома №56 микрорайона 14 через дорогу </w:t>
      </w:r>
      <w:proofErr w:type="spellStart"/>
      <w:r w:rsidRPr="00902097">
        <w:t>ул.Р.Кузоваткина</w:t>
      </w:r>
      <w:proofErr w:type="spellEnd"/>
      <w:r w:rsidRPr="00902097">
        <w:t>)</w:t>
      </w:r>
    </w:p>
    <w:p w:rsidR="00DD41AC" w:rsidRPr="00902097" w:rsidRDefault="00DD41AC" w:rsidP="00DD41AC">
      <w:pPr>
        <w:ind w:firstLine="708"/>
        <w:jc w:val="both"/>
        <w:rPr>
          <w:bCs/>
        </w:rPr>
      </w:pPr>
      <w:r w:rsidRPr="00902097">
        <w:t xml:space="preserve">18.Территория в районе ТЦ «Мир одежды и обуви» </w:t>
      </w:r>
      <w:proofErr w:type="spellStart"/>
      <w:r w:rsidRPr="00902097">
        <w:t>ул.Парковая</w:t>
      </w:r>
      <w:proofErr w:type="spellEnd"/>
      <w:r w:rsidRPr="00902097">
        <w:t xml:space="preserve"> (стоянка за ДОСААФ)</w:t>
      </w:r>
    </w:p>
    <w:p w:rsidR="00DD41AC" w:rsidRPr="00902097" w:rsidRDefault="00DD41AC" w:rsidP="00DD41AC">
      <w:pPr>
        <w:ind w:firstLine="708"/>
        <w:jc w:val="both"/>
        <w:rPr>
          <w:bCs/>
        </w:rPr>
      </w:pPr>
      <w:r w:rsidRPr="00902097">
        <w:rPr>
          <w:bCs/>
        </w:rPr>
        <w:t xml:space="preserve">В результате субботника 21.05.2021 по санитарной очистке, очищено 18 мест, из них 11 мест, прилегающих к водным объектам. </w:t>
      </w:r>
    </w:p>
    <w:p w:rsidR="00DD41AC" w:rsidRPr="00902097" w:rsidRDefault="00DD41AC" w:rsidP="00DD41AC">
      <w:pPr>
        <w:jc w:val="both"/>
      </w:pPr>
      <w:r w:rsidRPr="00902097">
        <w:t xml:space="preserve">Проведена очистка от мусора берегов и прилегающей акватории водных объектов протяженностью 5,3 км. </w:t>
      </w:r>
    </w:p>
    <w:p w:rsidR="00DD41AC" w:rsidRPr="00902097" w:rsidRDefault="00DD41AC" w:rsidP="00DD41AC">
      <w:pPr>
        <w:ind w:firstLine="708"/>
        <w:jc w:val="both"/>
        <w:rPr>
          <w:bCs/>
        </w:rPr>
      </w:pPr>
      <w:r w:rsidRPr="00902097">
        <w:rPr>
          <w:bCs/>
        </w:rPr>
        <w:t xml:space="preserve">В общегородском субботнике приняли участие учреждения, в том числе подведомственные учреждения администрации </w:t>
      </w:r>
      <w:proofErr w:type="spellStart"/>
      <w:r w:rsidRPr="00902097">
        <w:rPr>
          <w:bCs/>
        </w:rPr>
        <w:t>г.Нефтеюганска</w:t>
      </w:r>
      <w:proofErr w:type="spellEnd"/>
      <w:r w:rsidRPr="00902097">
        <w:rPr>
          <w:bCs/>
        </w:rPr>
        <w:t>, общественные организации, волонтёры города, коллектив РН "</w:t>
      </w:r>
      <w:proofErr w:type="spellStart"/>
      <w:r w:rsidRPr="00902097">
        <w:rPr>
          <w:bCs/>
        </w:rPr>
        <w:t>Юганскнефтегаз</w:t>
      </w:r>
      <w:proofErr w:type="spellEnd"/>
      <w:r w:rsidRPr="00902097">
        <w:rPr>
          <w:bCs/>
        </w:rPr>
        <w:t>"</w:t>
      </w:r>
      <w:r w:rsidR="00220BF2">
        <w:rPr>
          <w:bCs/>
        </w:rPr>
        <w:t>.</w:t>
      </w:r>
    </w:p>
    <w:p w:rsidR="00C46802" w:rsidRPr="00220BF2" w:rsidRDefault="00C46802" w:rsidP="00220BF2">
      <w:pPr>
        <w:jc w:val="both"/>
        <w:rPr>
          <w:bCs/>
        </w:rPr>
      </w:pPr>
    </w:p>
    <w:p w:rsidR="00BB5E43" w:rsidRDefault="00220BF2" w:rsidP="00BB5E43">
      <w:pPr>
        <w:widowControl w:val="0"/>
        <w:ind w:right="120"/>
        <w:jc w:val="both"/>
        <w:rPr>
          <w:rFonts w:eastAsia="Calibri"/>
          <w:color w:val="000000"/>
          <w:spacing w:val="4"/>
          <w:shd w:val="clear" w:color="auto" w:fill="FFFFFF"/>
          <w:lang w:eastAsia="en-US"/>
        </w:rPr>
      </w:pPr>
      <w:r>
        <w:rPr>
          <w:rFonts w:eastAsia="Calibri"/>
          <w:color w:val="000000"/>
          <w:spacing w:val="4"/>
          <w:shd w:val="clear" w:color="auto" w:fill="FFFFFF"/>
          <w:lang w:eastAsia="en-US"/>
        </w:rPr>
        <w:t xml:space="preserve">В </w:t>
      </w:r>
      <w:r w:rsidR="00DC1A45">
        <w:rPr>
          <w:rFonts w:eastAsia="Calibri"/>
          <w:color w:val="000000"/>
          <w:spacing w:val="4"/>
          <w:shd w:val="clear" w:color="auto" w:fill="FFFFFF"/>
          <w:lang w:eastAsia="en-US"/>
        </w:rPr>
        <w:t>2021</w:t>
      </w:r>
      <w:r w:rsidR="00BB5E43">
        <w:rPr>
          <w:rFonts w:eastAsia="Calibri"/>
          <w:color w:val="000000"/>
          <w:spacing w:val="4"/>
          <w:shd w:val="clear" w:color="auto" w:fill="FFFFFF"/>
          <w:lang w:eastAsia="en-US"/>
        </w:rPr>
        <w:t xml:space="preserve">г.г. на контроле у территориального отдела Управления </w:t>
      </w:r>
      <w:proofErr w:type="spellStart"/>
      <w:r w:rsidR="00BB5E43">
        <w:rPr>
          <w:rFonts w:eastAsia="Calibri"/>
          <w:color w:val="000000"/>
          <w:spacing w:val="4"/>
          <w:shd w:val="clear" w:color="auto" w:fill="FFFFFF"/>
          <w:lang w:eastAsia="en-US"/>
        </w:rPr>
        <w:t>Роспотребнад</w:t>
      </w:r>
      <w:r w:rsidR="00845024">
        <w:rPr>
          <w:rFonts w:eastAsia="Calibri"/>
          <w:color w:val="000000"/>
          <w:spacing w:val="4"/>
          <w:shd w:val="clear" w:color="auto" w:fill="FFFFFF"/>
          <w:lang w:eastAsia="en-US"/>
        </w:rPr>
        <w:t>зора</w:t>
      </w:r>
      <w:proofErr w:type="spellEnd"/>
      <w:r w:rsidR="00845024">
        <w:rPr>
          <w:rFonts w:eastAsia="Calibri"/>
          <w:color w:val="000000"/>
          <w:spacing w:val="4"/>
          <w:shd w:val="clear" w:color="auto" w:fill="FFFFFF"/>
          <w:lang w:eastAsia="en-US"/>
        </w:rPr>
        <w:t xml:space="preserve"> по ХМАО - Югры состояло - 3</w:t>
      </w:r>
      <w:r w:rsidR="00BB5E43">
        <w:rPr>
          <w:rFonts w:eastAsia="Calibri"/>
          <w:color w:val="000000"/>
          <w:spacing w:val="4"/>
          <w:shd w:val="clear" w:color="auto" w:fill="FFFFFF"/>
          <w:lang w:eastAsia="en-US"/>
        </w:rPr>
        <w:t xml:space="preserve"> объект</w:t>
      </w:r>
      <w:r w:rsidR="00845024">
        <w:rPr>
          <w:rFonts w:eastAsia="Calibri"/>
          <w:color w:val="000000"/>
          <w:spacing w:val="4"/>
          <w:shd w:val="clear" w:color="auto" w:fill="FFFFFF"/>
          <w:lang w:eastAsia="en-US"/>
        </w:rPr>
        <w:t>а</w:t>
      </w:r>
      <w:r w:rsidR="00BB5E43">
        <w:rPr>
          <w:rFonts w:eastAsia="Calibri"/>
          <w:color w:val="000000"/>
          <w:spacing w:val="4"/>
          <w:shd w:val="clear" w:color="auto" w:fill="FFFFFF"/>
          <w:lang w:eastAsia="en-US"/>
        </w:rPr>
        <w:t xml:space="preserve"> занимающихся сбором и обработкой и утилизацией неопасных отходов  </w:t>
      </w:r>
      <w:proofErr w:type="spellStart"/>
      <w:r w:rsidR="00BB5E43">
        <w:rPr>
          <w:rFonts w:eastAsia="Calibri"/>
          <w:color w:val="000000"/>
          <w:spacing w:val="4"/>
          <w:shd w:val="clear" w:color="auto" w:fill="FFFFFF"/>
          <w:lang w:eastAsia="en-US"/>
        </w:rPr>
        <w:t>гНефтеюганска</w:t>
      </w:r>
      <w:proofErr w:type="spellEnd"/>
      <w:r w:rsidR="00BB5E43">
        <w:rPr>
          <w:rFonts w:eastAsia="Calibri"/>
          <w:color w:val="000000"/>
          <w:spacing w:val="4"/>
          <w:shd w:val="clear" w:color="auto" w:fill="FFFFFF"/>
          <w:lang w:eastAsia="en-US"/>
        </w:rPr>
        <w:t>, включая полигоны.</w:t>
      </w:r>
      <w:r w:rsidR="00BB5E43">
        <w:rPr>
          <w:rFonts w:eastAsia="Calibri"/>
          <w:spacing w:val="4"/>
          <w:lang w:eastAsia="en-US"/>
        </w:rPr>
        <w:t xml:space="preserve"> (ИП </w:t>
      </w:r>
      <w:proofErr w:type="spellStart"/>
      <w:r w:rsidR="00BB5E43">
        <w:rPr>
          <w:rFonts w:eastAsia="Calibri"/>
          <w:spacing w:val="4"/>
          <w:lang w:eastAsia="en-US"/>
        </w:rPr>
        <w:t>Самигуллин</w:t>
      </w:r>
      <w:proofErr w:type="spellEnd"/>
      <w:r w:rsidR="00BB5E43">
        <w:rPr>
          <w:rFonts w:eastAsia="Calibri"/>
          <w:spacing w:val="4"/>
          <w:lang w:eastAsia="en-US"/>
        </w:rPr>
        <w:t xml:space="preserve"> Рустам </w:t>
      </w:r>
      <w:proofErr w:type="spellStart"/>
      <w:r w:rsidR="00BB5E43">
        <w:rPr>
          <w:rFonts w:eastAsia="Calibri"/>
          <w:spacing w:val="4"/>
          <w:lang w:eastAsia="en-US"/>
        </w:rPr>
        <w:t>Зинурови</w:t>
      </w:r>
      <w:proofErr w:type="spellEnd"/>
      <w:r w:rsidR="00BB5E43">
        <w:rPr>
          <w:rFonts w:eastAsia="Calibri"/>
          <w:spacing w:val="4"/>
          <w:lang w:eastAsia="en-US"/>
        </w:rPr>
        <w:t>,  ООО «</w:t>
      </w:r>
      <w:proofErr w:type="spellStart"/>
      <w:r w:rsidR="00BB5E43">
        <w:rPr>
          <w:rFonts w:eastAsia="Calibri"/>
          <w:spacing w:val="4"/>
          <w:lang w:eastAsia="en-US"/>
        </w:rPr>
        <w:t>Спецкоммунсервис</w:t>
      </w:r>
      <w:proofErr w:type="spellEnd"/>
      <w:r w:rsidR="00BB5E43">
        <w:rPr>
          <w:rFonts w:eastAsia="Calibri"/>
          <w:spacing w:val="4"/>
          <w:lang w:eastAsia="en-US"/>
        </w:rPr>
        <w:t>»)</w:t>
      </w:r>
      <w:r w:rsidR="00A72119">
        <w:rPr>
          <w:rFonts w:eastAsia="Calibri"/>
          <w:spacing w:val="4"/>
          <w:lang w:eastAsia="en-US"/>
        </w:rPr>
        <w:t>.</w:t>
      </w:r>
    </w:p>
    <w:p w:rsidR="00DE0B47" w:rsidRPr="00220BF2" w:rsidRDefault="00DE0B47" w:rsidP="00220BF2">
      <w:pPr>
        <w:jc w:val="both"/>
        <w:rPr>
          <w:rFonts w:ascii="Calibri" w:eastAsia="Calibri" w:hAnsi="Calibri"/>
          <w:sz w:val="22"/>
          <w:szCs w:val="22"/>
          <w:lang w:eastAsia="en-US"/>
        </w:rPr>
      </w:pPr>
    </w:p>
    <w:p w:rsidR="00DE0B47" w:rsidRDefault="00BB5E43" w:rsidP="00DA2CD3">
      <w:pPr>
        <w:spacing w:after="120"/>
        <w:ind w:firstLine="540"/>
        <w:jc w:val="both"/>
      </w:pPr>
      <w:r>
        <w:t>При проведении</w:t>
      </w:r>
      <w:r w:rsidR="000134D3">
        <w:t xml:space="preserve"> в </w:t>
      </w:r>
      <w:r w:rsidR="00DE0B47">
        <w:t xml:space="preserve"> 2021г, в рамках планового контрольно-надзорного мероприятия </w:t>
      </w:r>
      <w:r w:rsidR="000134D3">
        <w:t xml:space="preserve">ТО УРПН по ХМАО-Югре в г. Нефтеюганске и Нефтеюганском районе и в г. </w:t>
      </w:r>
      <w:proofErr w:type="spellStart"/>
      <w:r w:rsidR="000134D3">
        <w:t>Пыть-Яхе</w:t>
      </w:r>
      <w:proofErr w:type="spellEnd"/>
      <w:r w:rsidR="000134D3">
        <w:rPr>
          <w:rFonts w:eastAsia="Arial Unicode MS"/>
          <w:lang w:eastAsia="en-US"/>
        </w:rPr>
        <w:t xml:space="preserve"> в отношении ООО «</w:t>
      </w:r>
      <w:proofErr w:type="spellStart"/>
      <w:r w:rsidR="000134D3">
        <w:rPr>
          <w:rFonts w:eastAsia="Arial Unicode MS"/>
          <w:lang w:eastAsia="en-US"/>
        </w:rPr>
        <w:t>Спецкоммунсервис</w:t>
      </w:r>
      <w:proofErr w:type="spellEnd"/>
      <w:r w:rsidR="000134D3">
        <w:rPr>
          <w:rFonts w:eastAsia="Arial Unicode MS"/>
          <w:lang w:eastAsia="en-US"/>
        </w:rPr>
        <w:t xml:space="preserve">», </w:t>
      </w:r>
      <w:r w:rsidR="00DA2CD3">
        <w:t>п</w:t>
      </w:r>
      <w:r w:rsidR="00DA2CD3" w:rsidRPr="00DC1A45">
        <w:t>о результатам контрольно-надзорных мероприятий привлечено к административной ответственности по ст.</w:t>
      </w:r>
      <w:r w:rsidR="00DA2CD3">
        <w:t xml:space="preserve"> 6.3.ч.1, 6.4</w:t>
      </w:r>
      <w:r w:rsidR="00DA2CD3" w:rsidRPr="00DC1A45">
        <w:t xml:space="preserve"> КоАП </w:t>
      </w:r>
      <w:r w:rsidR="00DA2CD3" w:rsidRPr="00DC1A45">
        <w:lastRenderedPageBreak/>
        <w:t>РФ  юридические и должностные лица</w:t>
      </w:r>
      <w:r w:rsidR="00DA2CD3">
        <w:t xml:space="preserve"> вынесено 3</w:t>
      </w:r>
      <w:r w:rsidR="00DA2CD3" w:rsidRPr="00DC1A45">
        <w:t xml:space="preserve">  поста</w:t>
      </w:r>
      <w:r w:rsidR="00DA2CD3">
        <w:t>новления</w:t>
      </w:r>
      <w:r w:rsidR="00DA2CD3" w:rsidRPr="00DC1A45">
        <w:t xml:space="preserve"> об административном правонаруш</w:t>
      </w:r>
      <w:r w:rsidR="00DA2CD3">
        <w:t>ениям, в виде штрафа  на сумму 4</w:t>
      </w:r>
      <w:r w:rsidR="00DA2CD3" w:rsidRPr="00DC1A45">
        <w:t xml:space="preserve">6  тыс. </w:t>
      </w:r>
      <w:proofErr w:type="spellStart"/>
      <w:r w:rsidR="00DA2CD3" w:rsidRPr="00DC1A45">
        <w:t>рублей.Юридическому</w:t>
      </w:r>
      <w:proofErr w:type="spellEnd"/>
      <w:r w:rsidR="00DA2CD3" w:rsidRPr="00DC1A45">
        <w:t xml:space="preserve"> лицу направлено предписание  об устранении нарушений санитарного </w:t>
      </w:r>
      <w:r w:rsidR="00DA2CD3">
        <w:t>законодательства для исполнения.</w:t>
      </w:r>
    </w:p>
    <w:p w:rsidR="00BB5E43" w:rsidRPr="00DC1A45" w:rsidRDefault="00DA2CD3" w:rsidP="00BB5E43">
      <w:pPr>
        <w:jc w:val="both"/>
      </w:pPr>
      <w:r>
        <w:t xml:space="preserve">     При проведении </w:t>
      </w:r>
      <w:r w:rsidR="00BB5E43">
        <w:t xml:space="preserve">внеплановых контрольно-надзорных мероприятий в городе Нефтеюганске </w:t>
      </w:r>
      <w:r w:rsidR="008E7A0C">
        <w:t xml:space="preserve"> в</w:t>
      </w:r>
      <w:r>
        <w:t xml:space="preserve"> период </w:t>
      </w:r>
      <w:r w:rsidR="00BB5E43">
        <w:t>2018год</w:t>
      </w:r>
      <w:r w:rsidR="008E7A0C">
        <w:t>у</w:t>
      </w:r>
      <w:r w:rsidR="00BB5E43">
        <w:t xml:space="preserve">, </w:t>
      </w:r>
      <w:r>
        <w:rPr>
          <w:rFonts w:eastAsia="Arial Unicode MS"/>
          <w:lang w:eastAsia="en-US"/>
        </w:rPr>
        <w:t xml:space="preserve">2019 году по требованиям прокуратуры, обращениям граждан,    </w:t>
      </w:r>
      <w:r w:rsidRPr="00DC1A45">
        <w:t xml:space="preserve">поручений Президента Российской </w:t>
      </w:r>
      <w:proofErr w:type="spellStart"/>
      <w:r w:rsidRPr="00DC1A45">
        <w:t>Федерации</w:t>
      </w:r>
      <w:r>
        <w:t>в</w:t>
      </w:r>
      <w:proofErr w:type="spellEnd"/>
      <w:r>
        <w:t xml:space="preserve"> отношении юридических лиц </w:t>
      </w:r>
      <w:r>
        <w:rPr>
          <w:rFonts w:eastAsia="Arial Unicode MS"/>
          <w:lang w:eastAsia="en-US"/>
        </w:rPr>
        <w:t xml:space="preserve"> включая ООО «Югра-Комфорт», ООО УК «</w:t>
      </w:r>
      <w:proofErr w:type="spellStart"/>
      <w:r>
        <w:rPr>
          <w:rFonts w:eastAsia="Arial Unicode MS"/>
          <w:lang w:eastAsia="en-US"/>
        </w:rPr>
        <w:t>Югорчанка</w:t>
      </w:r>
      <w:proofErr w:type="spellEnd"/>
      <w:r>
        <w:rPr>
          <w:rFonts w:eastAsia="Arial Unicode MS"/>
          <w:lang w:eastAsia="en-US"/>
        </w:rPr>
        <w:t>», ООО «УК «</w:t>
      </w:r>
      <w:proofErr w:type="spellStart"/>
      <w:r>
        <w:rPr>
          <w:rFonts w:eastAsia="Arial Unicode MS"/>
          <w:lang w:eastAsia="en-US"/>
        </w:rPr>
        <w:t>Югансксевер</w:t>
      </w:r>
      <w:proofErr w:type="spellEnd"/>
      <w:r>
        <w:rPr>
          <w:rFonts w:eastAsia="Arial Unicode MS"/>
          <w:lang w:eastAsia="en-US"/>
        </w:rPr>
        <w:t xml:space="preserve">», ТСЖ «2А микрорайон», Администрация г. Нефтеюганска, </w:t>
      </w:r>
      <w:r w:rsidRPr="00DA2CD3">
        <w:t xml:space="preserve"> ООО «</w:t>
      </w:r>
      <w:proofErr w:type="spellStart"/>
      <w:r w:rsidRPr="00DA2CD3">
        <w:t>Спецкоммунсервис</w:t>
      </w:r>
      <w:proofErr w:type="spellEnd"/>
      <w:r w:rsidR="000A2E97">
        <w:t>, ЗАО «ССК»,</w:t>
      </w:r>
      <w:r w:rsidR="000A2E97" w:rsidRPr="000A2E97">
        <w:t>ООО «</w:t>
      </w:r>
      <w:proofErr w:type="spellStart"/>
      <w:r w:rsidR="000A2E97" w:rsidRPr="000A2E97">
        <w:t>Везерфорд</w:t>
      </w:r>
      <w:proofErr w:type="spellEnd"/>
      <w:r w:rsidR="000A2E97" w:rsidRPr="000A2E97">
        <w:t xml:space="preserve">» </w:t>
      </w:r>
      <w:r>
        <w:rPr>
          <w:rFonts w:eastAsia="Arial Unicode MS"/>
          <w:lang w:eastAsia="en-US"/>
        </w:rPr>
        <w:t xml:space="preserve">и др., </w:t>
      </w:r>
      <w:r w:rsidR="00BB5E43">
        <w:t xml:space="preserve">в части надзора за исполнением требований законодательства при обращении с отходами производства и </w:t>
      </w:r>
      <w:proofErr w:type="spellStart"/>
      <w:r w:rsidR="00BB5E43">
        <w:t>потребления</w:t>
      </w:r>
      <w:r>
        <w:t>,гдеп</w:t>
      </w:r>
      <w:r w:rsidRPr="00DC1A45">
        <w:t>о</w:t>
      </w:r>
      <w:proofErr w:type="spellEnd"/>
      <w:r w:rsidRPr="00DC1A45">
        <w:t xml:space="preserve"> результатам контрольно-надзорных мероприятий привлечено к административной ответственности по ст.</w:t>
      </w:r>
      <w:r>
        <w:t xml:space="preserve"> 6.3.ч.1, 6.4ч.. 8.2. 6.35</w:t>
      </w:r>
      <w:r w:rsidR="000A2E97">
        <w:t>,</w:t>
      </w:r>
      <w:r w:rsidR="000A2E97">
        <w:rPr>
          <w:lang w:eastAsia="en-US" w:bidi="en-US"/>
        </w:rPr>
        <w:t xml:space="preserve">ст.14.26 </w:t>
      </w:r>
      <w:r w:rsidRPr="00DC1A45">
        <w:t>КоАП РФ  юридические и должностные лица</w:t>
      </w:r>
      <w:r>
        <w:t xml:space="preserve"> вынесено 3</w:t>
      </w:r>
      <w:r w:rsidRPr="00DC1A45">
        <w:t xml:space="preserve">  поста</w:t>
      </w:r>
      <w:r>
        <w:t>новления</w:t>
      </w:r>
      <w:r w:rsidRPr="00DC1A45">
        <w:t xml:space="preserve"> об административном правонаруш</w:t>
      </w:r>
      <w:r w:rsidR="000A2E97">
        <w:t xml:space="preserve">ениям, в виде штрафа  на сумму 301 </w:t>
      </w:r>
      <w:r w:rsidRPr="00DC1A45">
        <w:t xml:space="preserve">  тыс. </w:t>
      </w:r>
      <w:proofErr w:type="spellStart"/>
      <w:r w:rsidRPr="00DC1A45">
        <w:t>рублей.Юридическому</w:t>
      </w:r>
      <w:proofErr w:type="spellEnd"/>
      <w:r w:rsidRPr="00DC1A45">
        <w:t xml:space="preserve"> лицу направлено предписание  об устранении нарушений санитарного </w:t>
      </w:r>
      <w:r>
        <w:t>законодательства для исполнения, составлен протокол по ст. 6.3КоАП РФ. Материалы переданы в суд на закрытие полигона ТБО. Вынесено постановление на штраф в сумме 10тыс руб.</w:t>
      </w:r>
    </w:p>
    <w:p w:rsidR="00BB5E43" w:rsidRPr="000A2E97" w:rsidRDefault="00BB5E43" w:rsidP="000A2E97">
      <w:pPr>
        <w:pStyle w:val="a9"/>
        <w:ind w:firstLine="426"/>
        <w:jc w:val="both"/>
        <w:rPr>
          <w:i/>
          <w:u w:val="single"/>
        </w:rPr>
      </w:pPr>
    </w:p>
    <w:p w:rsidR="00BB5E43" w:rsidRDefault="00DC1A45" w:rsidP="00BB5E43">
      <w:pPr>
        <w:jc w:val="both"/>
        <w:rPr>
          <w:rFonts w:eastAsia="Calibri"/>
          <w:lang w:eastAsia="en-US"/>
        </w:rPr>
      </w:pPr>
      <w:r>
        <w:rPr>
          <w:rFonts w:eastAsia="Calibri"/>
          <w:lang w:eastAsia="en-US"/>
        </w:rPr>
        <w:t>В 2021</w:t>
      </w:r>
      <w:r w:rsidR="00BB5E43">
        <w:rPr>
          <w:rFonts w:eastAsia="Calibri"/>
          <w:lang w:eastAsia="en-US"/>
        </w:rPr>
        <w:t xml:space="preserve">  при проведении плановых </w:t>
      </w:r>
      <w:r w:rsidR="00BB5E43">
        <w:rPr>
          <w:rFonts w:eastAsia="Arial Unicode MS"/>
          <w:lang w:eastAsia="en-US"/>
        </w:rPr>
        <w:t xml:space="preserve">и внеплановых </w:t>
      </w:r>
      <w:r w:rsidR="00BB5E43">
        <w:rPr>
          <w:rFonts w:eastAsia="Calibri"/>
          <w:lang w:eastAsia="en-US"/>
        </w:rPr>
        <w:t>контрольно-надзорных мероприятий в  образовательных организациях (школы, детские сады,), социальных учреждениях, ЛОУ</w:t>
      </w:r>
      <w:r w:rsidR="00027C9D">
        <w:rPr>
          <w:rFonts w:eastAsia="Calibri"/>
          <w:lang w:eastAsia="en-US"/>
        </w:rPr>
        <w:t xml:space="preserve">, промпредприятий </w:t>
      </w:r>
      <w:r w:rsidR="00BB5E43">
        <w:rPr>
          <w:rFonts w:eastAsia="Calibri"/>
          <w:lang w:eastAsia="en-US"/>
        </w:rPr>
        <w:t xml:space="preserve"> на территории </w:t>
      </w:r>
      <w:r w:rsidR="00BB5E43">
        <w:rPr>
          <w:rFonts w:eastAsia="Calibri"/>
          <w:color w:val="000000"/>
          <w:spacing w:val="-1"/>
          <w:lang w:eastAsia="en-US"/>
        </w:rPr>
        <w:t xml:space="preserve"> г. Нефтеюганска, </w:t>
      </w:r>
      <w:r w:rsidR="00BB5E43">
        <w:rPr>
          <w:rFonts w:eastAsia="Calibri"/>
          <w:bCs/>
          <w:lang w:eastAsia="en-US"/>
        </w:rPr>
        <w:t xml:space="preserve">по </w:t>
      </w:r>
      <w:r w:rsidR="00BB5E43">
        <w:rPr>
          <w:rFonts w:eastAsia="Arial Unicode MS"/>
          <w:lang w:eastAsia="en-US"/>
        </w:rPr>
        <w:t xml:space="preserve"> выявлены нарушения требования санитарного законодательства в сфере обращения с отходами и  содержания территорий, </w:t>
      </w:r>
      <w:r w:rsidR="00BB5E43">
        <w:rPr>
          <w:rFonts w:eastAsia="Calibri"/>
          <w:lang w:eastAsia="en-US"/>
        </w:rPr>
        <w:t xml:space="preserve"> принимались  меры административного взыскания, в виде штрафа, направлялись предписания об устранении нарушений  санитарного законодательства для исполнения руководителями.</w:t>
      </w:r>
    </w:p>
    <w:p w:rsidR="00A07AB5" w:rsidRDefault="00A07AB5" w:rsidP="00BB5E43">
      <w:pPr>
        <w:jc w:val="both"/>
        <w:rPr>
          <w:rFonts w:eastAsia="Calibri"/>
          <w:lang w:eastAsia="en-US"/>
        </w:rPr>
      </w:pPr>
    </w:p>
    <w:p w:rsidR="004C6F31" w:rsidRPr="004C6F31" w:rsidRDefault="00AE26FA" w:rsidP="0004057F">
      <w:pPr>
        <w:jc w:val="both"/>
        <w:rPr>
          <w:lang w:eastAsia="zh-CN"/>
        </w:rPr>
      </w:pPr>
      <w:r>
        <w:t>В 2021 году п</w:t>
      </w:r>
      <w:r w:rsidR="00A07AB5">
        <w:t xml:space="preserve">о фактам нарушения </w:t>
      </w:r>
      <w:r w:rsidR="00A07AB5">
        <w:rPr>
          <w:rFonts w:eastAsia="Arial Unicode MS"/>
          <w:lang w:eastAsia="en-US"/>
        </w:rPr>
        <w:t xml:space="preserve">требований санитарного законодательства в сфере обращения с отходами и  содержания территорий города Нефтеюганска, направляемые в службу ведомствами </w:t>
      </w:r>
      <w:r w:rsidR="00A07AB5">
        <w:rPr>
          <w:rFonts w:eastAsia="Calibri"/>
          <w:lang w:eastAsia="en-US"/>
        </w:rPr>
        <w:t xml:space="preserve"> (</w:t>
      </w:r>
      <w:proofErr w:type="spellStart"/>
      <w:r w:rsidR="00A07AB5" w:rsidRPr="0016060C">
        <w:t>Природнадзор</w:t>
      </w:r>
      <w:proofErr w:type="spellEnd"/>
      <w:r w:rsidR="00A07AB5" w:rsidRPr="0016060C">
        <w:t xml:space="preserve"> Югры</w:t>
      </w:r>
      <w:r w:rsidR="00B10200">
        <w:t xml:space="preserve"> и др.</w:t>
      </w:r>
      <w:r w:rsidR="00A07AB5">
        <w:t xml:space="preserve">) установленных по </w:t>
      </w:r>
      <w:proofErr w:type="spellStart"/>
      <w:r w:rsidR="00A07AB5">
        <w:t>результатамрейдовых</w:t>
      </w:r>
      <w:proofErr w:type="spellEnd"/>
      <w:r w:rsidR="00A07AB5">
        <w:t xml:space="preserve"> </w:t>
      </w:r>
      <w:r w:rsidR="00A07AB5" w:rsidRPr="0016060C">
        <w:t>осмотров мест (контейнерные площадки) накопления</w:t>
      </w:r>
      <w:r w:rsidR="0004057F">
        <w:t xml:space="preserve"> ТКО, </w:t>
      </w:r>
      <w:r w:rsidR="00A07AB5">
        <w:t>состояние контейнеров</w:t>
      </w:r>
      <w:r w:rsidR="00A07AB5" w:rsidRPr="0016060C">
        <w:t xml:space="preserve">, включая места (площадки) накопления крупногабаритных отходов жилых микрорайонах города Нефтеюганска </w:t>
      </w:r>
      <w:proofErr w:type="spellStart"/>
      <w:r w:rsidR="00A07AB5">
        <w:t>указывающие</w:t>
      </w:r>
      <w:r w:rsidR="00B605B7" w:rsidRPr="004C6F31">
        <w:rPr>
          <w:color w:val="000000"/>
        </w:rPr>
        <w:t>не</w:t>
      </w:r>
      <w:proofErr w:type="spellEnd"/>
      <w:r w:rsidR="00B605B7" w:rsidRPr="004C6F31">
        <w:rPr>
          <w:color w:val="000000"/>
        </w:rPr>
        <w:t xml:space="preserve"> своевременные проведения мероприятий обязательных требований  санитарного законодательства  согласн</w:t>
      </w:r>
      <w:r w:rsidR="00B605B7">
        <w:rPr>
          <w:color w:val="000000"/>
        </w:rPr>
        <w:t>о требований</w:t>
      </w:r>
      <w:r w:rsidR="00B605B7" w:rsidRPr="004C6F31">
        <w:rPr>
          <w:color w:val="000000"/>
        </w:rPr>
        <w:t xml:space="preserve">  </w:t>
      </w:r>
      <w:proofErr w:type="spellStart"/>
      <w:r w:rsidR="00B605B7" w:rsidRPr="004C6F31">
        <w:rPr>
          <w:color w:val="000000"/>
        </w:rPr>
        <w:t>раздел</w:t>
      </w:r>
      <w:r w:rsidR="00B605B7">
        <w:rPr>
          <w:color w:val="000000"/>
        </w:rPr>
        <w:t>а</w:t>
      </w:r>
      <w:r w:rsidR="00B605B7" w:rsidRPr="004C6F31">
        <w:t>II</w:t>
      </w:r>
      <w:proofErr w:type="spellEnd"/>
      <w:r w:rsidR="00B605B7" w:rsidRPr="004C6F31">
        <w:t xml:space="preserve">. «Санитарно-эпидемиологические требования к содержанию территорий городских и сельских поселений», раздела </w:t>
      </w:r>
      <w:r w:rsidR="00B605B7" w:rsidRPr="004C6F31">
        <w:rPr>
          <w:bCs/>
        </w:rPr>
        <w:t xml:space="preserve">VIII. «Санитарно-эпидемиологические требования к устройству, оборудованию и содержанию зданий и помещений» </w:t>
      </w:r>
      <w:r w:rsidR="00B605B7" w:rsidRPr="004C6F31">
        <w:rPr>
          <w:spacing w:val="2"/>
          <w:shd w:val="clear" w:color="auto" w:fill="FFFFFF"/>
        </w:rPr>
        <w:t>СанПиН 2.1.3684-21 от 28.01.2021г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00B605B7" w:rsidRPr="004C6F31">
        <w:rPr>
          <w:color w:val="000000"/>
        </w:rPr>
        <w:t>,</w:t>
      </w:r>
      <w:r w:rsidR="00A07AB5" w:rsidRPr="007C59F1">
        <w:t xml:space="preserve">, </w:t>
      </w:r>
      <w:r w:rsidR="00A07AB5" w:rsidRPr="009F6114">
        <w:t xml:space="preserve">в части  </w:t>
      </w:r>
      <w:r w:rsidR="00A07AB5" w:rsidRPr="009F6114">
        <w:rPr>
          <w:color w:val="000000"/>
        </w:rPr>
        <w:t xml:space="preserve">оказание услуг </w:t>
      </w:r>
      <w:r w:rsidR="00A07AB5" w:rsidRPr="007C59F1">
        <w:t xml:space="preserve">по </w:t>
      </w:r>
      <w:r w:rsidR="0004057F">
        <w:t xml:space="preserve">вывозу, </w:t>
      </w:r>
      <w:r w:rsidR="00A07AB5" w:rsidRPr="007C59F1">
        <w:t xml:space="preserve"> содер</w:t>
      </w:r>
      <w:r w:rsidR="00A07AB5">
        <w:t>жанию и состоянию   контейнерных площадок</w:t>
      </w:r>
      <w:r w:rsidR="00A07AB5" w:rsidRPr="007C59F1">
        <w:t xml:space="preserve"> и контейнеров по сбору ТБО (КТО), </w:t>
      </w:r>
      <w:r w:rsidR="0004057F">
        <w:t xml:space="preserve">придомовой территории, </w:t>
      </w:r>
      <w:proofErr w:type="spellStart"/>
      <w:r w:rsidR="0004057F">
        <w:t>нарушая</w:t>
      </w:r>
      <w:r w:rsidR="00A07AB5" w:rsidRPr="009F6114">
        <w:t>условий</w:t>
      </w:r>
      <w:proofErr w:type="spellEnd"/>
      <w:r w:rsidR="00A07AB5" w:rsidRPr="009F6114">
        <w:t xml:space="preserve">  комфортного проживания </w:t>
      </w:r>
      <w:r w:rsidR="0004057F">
        <w:t xml:space="preserve"> жителей </w:t>
      </w:r>
      <w:r w:rsidR="00A07AB5" w:rsidRPr="009F6114">
        <w:t>города Нефтеюганска</w:t>
      </w:r>
      <w:r w:rsidR="00A07AB5">
        <w:t>,</w:t>
      </w:r>
      <w:r w:rsidR="0004057F">
        <w:t xml:space="preserve"> принимались меры</w:t>
      </w:r>
      <w:r w:rsidR="00B10200">
        <w:t xml:space="preserve"> административного воздействия в виде штрафов (7)</w:t>
      </w:r>
      <w:r w:rsidR="00A07AB5">
        <w:t xml:space="preserve">, направлялись предостережение </w:t>
      </w:r>
      <w:r w:rsidR="009931F3">
        <w:t>(4</w:t>
      </w:r>
      <w:r w:rsidR="006D6729">
        <w:t xml:space="preserve">5) </w:t>
      </w:r>
      <w:r w:rsidR="00A07AB5">
        <w:t xml:space="preserve">юридическим лицам, </w:t>
      </w:r>
      <w:r w:rsidR="0004057F">
        <w:rPr>
          <w:lang w:eastAsia="zh-CN"/>
        </w:rPr>
        <w:t xml:space="preserve">индивидуальным </w:t>
      </w:r>
      <w:proofErr w:type="spellStart"/>
      <w:r w:rsidR="0004057F">
        <w:rPr>
          <w:lang w:eastAsia="zh-CN"/>
        </w:rPr>
        <w:t>предпринимателям</w:t>
      </w:r>
      <w:r w:rsidR="004C6F31" w:rsidRPr="004C6F31">
        <w:rPr>
          <w:lang w:eastAsia="zh-CN"/>
        </w:rPr>
        <w:t>по</w:t>
      </w:r>
      <w:proofErr w:type="spellEnd"/>
      <w:r w:rsidR="004C6F31" w:rsidRPr="004C6F31">
        <w:rPr>
          <w:lang w:eastAsia="zh-CN"/>
        </w:rPr>
        <w:t xml:space="preserve"> обеспечению соблюдения обязательных требований</w:t>
      </w:r>
      <w:r w:rsidR="00B605B7">
        <w:rPr>
          <w:lang w:eastAsia="zh-CN"/>
        </w:rPr>
        <w:t xml:space="preserve">, с уведомлением об исполнении </w:t>
      </w:r>
      <w:r w:rsidR="004C6F31" w:rsidRPr="004C6F31">
        <w:rPr>
          <w:lang w:eastAsia="zh-CN"/>
        </w:rPr>
        <w:t xml:space="preserve">в установленный </w:t>
      </w:r>
      <w:r w:rsidR="00B605B7">
        <w:rPr>
          <w:lang w:eastAsia="zh-CN"/>
        </w:rPr>
        <w:t>предостережением</w:t>
      </w:r>
      <w:r w:rsidR="004C6F31" w:rsidRPr="004C6F31">
        <w:rPr>
          <w:lang w:eastAsia="zh-CN"/>
        </w:rPr>
        <w:t xml:space="preserve"> ср</w:t>
      </w:r>
      <w:r w:rsidR="00B605B7">
        <w:rPr>
          <w:lang w:eastAsia="zh-CN"/>
        </w:rPr>
        <w:t xml:space="preserve">ок </w:t>
      </w:r>
      <w:r w:rsidR="00B605B7" w:rsidRPr="004C6F31">
        <w:rPr>
          <w:lang w:eastAsia="zh-CN"/>
        </w:rPr>
        <w:t xml:space="preserve">ТО Управления </w:t>
      </w:r>
      <w:proofErr w:type="spellStart"/>
      <w:r w:rsidR="00B605B7" w:rsidRPr="004C6F31">
        <w:rPr>
          <w:lang w:eastAsia="zh-CN"/>
        </w:rPr>
        <w:t>Роспотребнадзора</w:t>
      </w:r>
      <w:proofErr w:type="spellEnd"/>
      <w:r w:rsidR="00B605B7" w:rsidRPr="004C6F31">
        <w:rPr>
          <w:lang w:eastAsia="zh-CN"/>
        </w:rPr>
        <w:t xml:space="preserve"> по ХМАО-Югре</w:t>
      </w:r>
    </w:p>
    <w:p w:rsidR="000973BE" w:rsidRDefault="000973BE" w:rsidP="00AE26FA">
      <w:pPr>
        <w:suppressAutoHyphens/>
        <w:jc w:val="both"/>
        <w:rPr>
          <w:rFonts w:eastAsia="Calibri"/>
          <w:lang w:eastAsia="en-US"/>
        </w:rPr>
      </w:pPr>
    </w:p>
    <w:p w:rsidR="00BB5E43" w:rsidRPr="00AE26FA" w:rsidRDefault="000973BE" w:rsidP="00AE26FA">
      <w:pPr>
        <w:suppressAutoHyphens/>
        <w:jc w:val="both"/>
        <w:rPr>
          <w:color w:val="000000"/>
        </w:rPr>
      </w:pPr>
      <w:r>
        <w:rPr>
          <w:rFonts w:eastAsia="Calibri"/>
          <w:lang w:eastAsia="en-US"/>
        </w:rPr>
        <w:lastRenderedPageBreak/>
        <w:t xml:space="preserve">     </w:t>
      </w:r>
      <w:r w:rsidR="00BB5E43">
        <w:rPr>
          <w:rFonts w:eastAsia="Calibri"/>
          <w:lang w:eastAsia="en-US"/>
        </w:rPr>
        <w:t xml:space="preserve">Одним из разделов деятельности </w:t>
      </w:r>
      <w:r w:rsidR="00BB5E43">
        <w:rPr>
          <w:rFonts w:eastAsia="Calibri"/>
          <w:color w:val="000000"/>
          <w:spacing w:val="4"/>
          <w:shd w:val="clear" w:color="auto" w:fill="FFFFFF"/>
          <w:lang w:eastAsia="en-US"/>
        </w:rPr>
        <w:t xml:space="preserve">территориального отдела Управления </w:t>
      </w:r>
      <w:proofErr w:type="spellStart"/>
      <w:r w:rsidR="00BB5E43">
        <w:rPr>
          <w:rFonts w:eastAsia="Calibri"/>
          <w:color w:val="000000"/>
          <w:spacing w:val="4"/>
          <w:shd w:val="clear" w:color="auto" w:fill="FFFFFF"/>
          <w:lang w:eastAsia="en-US"/>
        </w:rPr>
        <w:t>Роспотребнадзора</w:t>
      </w:r>
      <w:proofErr w:type="spellEnd"/>
      <w:r w:rsidR="00BB5E43">
        <w:rPr>
          <w:rFonts w:eastAsia="Calibri"/>
          <w:color w:val="000000"/>
          <w:spacing w:val="4"/>
          <w:shd w:val="clear" w:color="auto" w:fill="FFFFFF"/>
          <w:lang w:eastAsia="en-US"/>
        </w:rPr>
        <w:t xml:space="preserve"> по ХМАО - Югры  </w:t>
      </w:r>
      <w:r w:rsidR="00BB5E43">
        <w:rPr>
          <w:rFonts w:eastAsia="Calibri"/>
          <w:lang w:eastAsia="en-US"/>
        </w:rPr>
        <w:t>является прием и рассмотрение о</w:t>
      </w:r>
      <w:r w:rsidR="001F51CB">
        <w:rPr>
          <w:rFonts w:eastAsia="Calibri"/>
          <w:lang w:eastAsia="en-US"/>
        </w:rPr>
        <w:t>бращений и жалоб граждан. В 2018</w:t>
      </w:r>
      <w:r w:rsidR="00BB5E43">
        <w:rPr>
          <w:rFonts w:eastAsia="Calibri"/>
          <w:lang w:eastAsia="en-US"/>
        </w:rPr>
        <w:t xml:space="preserve">г.   рассматривались  </w:t>
      </w:r>
      <w:r w:rsidR="001F51CB">
        <w:rPr>
          <w:rFonts w:eastAsia="Calibri"/>
          <w:lang w:eastAsia="en-US"/>
        </w:rPr>
        <w:t xml:space="preserve"> 56 </w:t>
      </w:r>
      <w:r w:rsidR="00BB5E43">
        <w:rPr>
          <w:rFonts w:eastAsia="Calibri"/>
          <w:lang w:eastAsia="en-US"/>
        </w:rPr>
        <w:t xml:space="preserve">   обращений  жител</w:t>
      </w:r>
      <w:r w:rsidR="00AC0751">
        <w:rPr>
          <w:rFonts w:eastAsia="Calibri"/>
          <w:lang w:eastAsia="en-US"/>
        </w:rPr>
        <w:t>ей   города Нефтеюганска, в 2020</w:t>
      </w:r>
      <w:r w:rsidR="00BB5E43">
        <w:rPr>
          <w:rFonts w:eastAsia="Calibri"/>
          <w:lang w:eastAsia="en-US"/>
        </w:rPr>
        <w:t xml:space="preserve"> году</w:t>
      </w:r>
      <w:r w:rsidR="001F51CB">
        <w:rPr>
          <w:rFonts w:eastAsia="Calibri"/>
          <w:lang w:eastAsia="en-US"/>
        </w:rPr>
        <w:t xml:space="preserve"> 89 </w:t>
      </w:r>
      <w:r w:rsidR="00BB5E43">
        <w:rPr>
          <w:rFonts w:eastAsia="Calibri"/>
          <w:lang w:eastAsia="en-US"/>
        </w:rPr>
        <w:t xml:space="preserve">обращений </w:t>
      </w:r>
      <w:r w:rsidR="00BB5E43">
        <w:rPr>
          <w:rFonts w:eastAsia="Arial Unicode MS"/>
          <w:lang w:eastAsia="en-US"/>
        </w:rPr>
        <w:t xml:space="preserve">(по обращениям жителей и </w:t>
      </w:r>
      <w:r w:rsidR="00BB5E43">
        <w:t xml:space="preserve">Общероссийским народным фронтом интернет - ресурса «Карта свалок»), </w:t>
      </w:r>
      <w:r w:rsidR="00DC1A45">
        <w:rPr>
          <w:rFonts w:eastAsia="Calibri"/>
          <w:lang w:eastAsia="en-US"/>
        </w:rPr>
        <w:t xml:space="preserve">в 2021 году 123 обращений </w:t>
      </w:r>
      <w:r w:rsidR="00BB5E43">
        <w:rPr>
          <w:rFonts w:eastAsia="Calibri"/>
          <w:lang w:eastAsia="en-US"/>
        </w:rPr>
        <w:t>на</w:t>
      </w:r>
      <w:r>
        <w:rPr>
          <w:rFonts w:eastAsia="Calibri"/>
          <w:lang w:eastAsia="en-US"/>
        </w:rPr>
        <w:t xml:space="preserve"> </w:t>
      </w:r>
      <w:r w:rsidR="00BB5E43">
        <w:rPr>
          <w:rFonts w:eastAsia="Calibri"/>
          <w:lang w:eastAsia="en-US"/>
        </w:rPr>
        <w:t>некачественное предоставление коммунальных услуг, наличие несанкционированных свалок, некачественные уборки территорий мест общего пользования</w:t>
      </w:r>
      <w:r w:rsidR="00BB5E43">
        <w:rPr>
          <w:rFonts w:eastAsia="Calibri"/>
          <w:bCs/>
          <w:lang w:eastAsia="en-US"/>
        </w:rPr>
        <w:t xml:space="preserve"> со стороны  УК ЖЭУ, ДЖУХ </w:t>
      </w:r>
      <w:proofErr w:type="spellStart"/>
      <w:r w:rsidR="00BB5E43">
        <w:rPr>
          <w:rFonts w:eastAsia="Calibri"/>
          <w:bCs/>
          <w:lang w:eastAsia="en-US"/>
        </w:rPr>
        <w:t>гНефтеюганска</w:t>
      </w:r>
      <w:proofErr w:type="spellEnd"/>
      <w:proofErr w:type="gramStart"/>
      <w:r w:rsidR="00BB5E43">
        <w:rPr>
          <w:rFonts w:eastAsia="Calibri"/>
          <w:bCs/>
          <w:lang w:eastAsia="en-US"/>
        </w:rPr>
        <w:t xml:space="preserve"> ,</w:t>
      </w:r>
      <w:proofErr w:type="spellStart"/>
      <w:proofErr w:type="gramEnd"/>
      <w:r w:rsidR="00BB5E43">
        <w:rPr>
          <w:rFonts w:eastAsia="Calibri"/>
          <w:bCs/>
          <w:lang w:eastAsia="en-US"/>
        </w:rPr>
        <w:t>т.ж</w:t>
      </w:r>
      <w:proofErr w:type="spellEnd"/>
      <w:r w:rsidR="00BB5E43">
        <w:rPr>
          <w:rFonts w:eastAsia="Calibri"/>
          <w:bCs/>
          <w:lang w:eastAsia="en-US"/>
        </w:rPr>
        <w:t xml:space="preserve"> в </w:t>
      </w:r>
      <w:r w:rsidR="00BB5E43">
        <w:rPr>
          <w:rFonts w:eastAsia="Calibri"/>
          <w:lang w:eastAsia="en-US"/>
        </w:rPr>
        <w:t xml:space="preserve">части  несвоевременного вывоза ТБО с контейнерных площадок города,   </w:t>
      </w:r>
      <w:proofErr w:type="gramStart"/>
      <w:r w:rsidR="00BB5E43">
        <w:rPr>
          <w:rFonts w:eastAsia="Calibri"/>
          <w:lang w:eastAsia="en-US"/>
        </w:rPr>
        <w:t>состояния площадок,  не своевременный вывоз снега  и т.д.</w:t>
      </w:r>
      <w:r w:rsidR="00BB5E43">
        <w:rPr>
          <w:rFonts w:eastAsia="Calibri"/>
          <w:bCs/>
          <w:lang w:eastAsia="en-US"/>
        </w:rPr>
        <w:t xml:space="preserve"> по данным фактам нарушения санитарного законодательства принимались меры административного воздействия, направлялись предостережения</w:t>
      </w:r>
      <w:r w:rsidR="00963BF5">
        <w:rPr>
          <w:rFonts w:eastAsia="Calibri"/>
          <w:bCs/>
          <w:lang w:eastAsia="en-US"/>
        </w:rPr>
        <w:t xml:space="preserve"> (79)</w:t>
      </w:r>
      <w:r w:rsidR="00BB5E43">
        <w:rPr>
          <w:rFonts w:eastAsia="Calibri"/>
          <w:bCs/>
          <w:lang w:eastAsia="en-US"/>
        </w:rPr>
        <w:t xml:space="preserve"> юридическим лицам, </w:t>
      </w:r>
      <w:r w:rsidR="00BB5E43">
        <w:rPr>
          <w:rFonts w:eastAsia="Calibri"/>
          <w:lang w:eastAsia="en-US"/>
        </w:rPr>
        <w:t>заявителям  направлялись  письменные разъяснения о порядке обращения с претензией,  подачи искового заявления в суд, и привлечения ТО  в качестве третьих лиц по исковым заявлениям граждан,  т.е. давались   разъяснения об их правах  согласно</w:t>
      </w:r>
      <w:r w:rsidR="00561A09">
        <w:rPr>
          <w:rFonts w:eastAsia="Calibri"/>
          <w:lang w:eastAsia="en-US"/>
        </w:rPr>
        <w:t xml:space="preserve"> действующих законодательств РФ</w:t>
      </w:r>
      <w:r w:rsidR="00BB5E43">
        <w:rPr>
          <w:rFonts w:eastAsia="Calibri"/>
          <w:lang w:eastAsia="en-US"/>
        </w:rPr>
        <w:t>.</w:t>
      </w:r>
      <w:proofErr w:type="gramEnd"/>
    </w:p>
    <w:p w:rsidR="00BB5E43" w:rsidRDefault="00DC1A45" w:rsidP="00BB5E43">
      <w:pPr>
        <w:ind w:firstLine="360"/>
        <w:jc w:val="both"/>
        <w:rPr>
          <w:rFonts w:eastAsia="Calibri"/>
          <w:i/>
          <w:lang w:eastAsia="en-US"/>
        </w:rPr>
      </w:pPr>
      <w:r>
        <w:rPr>
          <w:rFonts w:eastAsia="Calibri"/>
          <w:lang w:eastAsia="en-US"/>
        </w:rPr>
        <w:t xml:space="preserve">     По итогам 2021</w:t>
      </w:r>
      <w:r w:rsidR="00BB5E43">
        <w:rPr>
          <w:rFonts w:eastAsia="Calibri"/>
          <w:lang w:eastAsia="en-US"/>
        </w:rPr>
        <w:t xml:space="preserve"> года  была продолжена практика проведения организационных мероприятий по вопросам улучшения обеспечения населения города Нефтеюганска предоставления качественных услуг по организации   сбора, хранения, транспортировки утилизации твёрдых, жидких отходов потребления, и санитарного состояния территорий населенных мест в </w:t>
      </w:r>
      <w:proofErr w:type="spellStart"/>
      <w:r w:rsidR="00BB5E43">
        <w:rPr>
          <w:rFonts w:eastAsia="Calibri"/>
          <w:lang w:eastAsia="en-US"/>
        </w:rPr>
        <w:t>г.Нефтеюганске</w:t>
      </w:r>
      <w:proofErr w:type="spellEnd"/>
      <w:r w:rsidR="00BB5E43">
        <w:rPr>
          <w:rFonts w:eastAsia="Calibri"/>
          <w:lang w:eastAsia="en-US"/>
        </w:rPr>
        <w:t>.</w:t>
      </w:r>
      <w:r w:rsidR="00BB5E43">
        <w:rPr>
          <w:rFonts w:eastAsia="Calibri"/>
          <w:lang w:eastAsia="en-US"/>
        </w:rPr>
        <w:tab/>
        <w:t xml:space="preserve">По инициативе ТО УРПН вопрос:- вывоза и утилизации ТБО от населения и строительства полигона ТБО,  рассматривался на заседаниях СПЭК при  Администрации МО </w:t>
      </w:r>
      <w:proofErr w:type="spellStart"/>
      <w:r w:rsidR="00BB5E43">
        <w:rPr>
          <w:rFonts w:eastAsia="Calibri"/>
          <w:lang w:eastAsia="en-US"/>
        </w:rPr>
        <w:t>гНефтеюганска</w:t>
      </w:r>
      <w:proofErr w:type="spellEnd"/>
      <w:r w:rsidR="00BB5E43">
        <w:rPr>
          <w:rFonts w:eastAsia="Calibri"/>
          <w:lang w:eastAsia="en-US"/>
        </w:rPr>
        <w:t>.</w:t>
      </w:r>
    </w:p>
    <w:p w:rsidR="00BB5E43" w:rsidRDefault="00BB5E43" w:rsidP="00BB5E43">
      <w:pPr>
        <w:jc w:val="both"/>
        <w:rPr>
          <w:i/>
        </w:rPr>
      </w:pPr>
    </w:p>
    <w:p w:rsidR="00BB5E43" w:rsidRDefault="00BB5E43" w:rsidP="00BB5E43">
      <w:pPr>
        <w:jc w:val="both"/>
        <w:rPr>
          <w:rFonts w:eastAsia="Calibri"/>
          <w:lang w:eastAsia="en-US"/>
        </w:rPr>
      </w:pPr>
      <w:r>
        <w:rPr>
          <w:rFonts w:eastAsia="Calibri"/>
          <w:lang w:eastAsia="en-US"/>
        </w:rPr>
        <w:t xml:space="preserve">Вопрос состояния  объектов </w:t>
      </w:r>
      <w:r>
        <w:rPr>
          <w:rFonts w:eastAsia="Calibri"/>
          <w:color w:val="000000"/>
          <w:spacing w:val="4"/>
          <w:shd w:val="clear" w:color="auto" w:fill="FFFFFF"/>
          <w:lang w:eastAsia="en-US"/>
        </w:rPr>
        <w:t>сбора, обработки и утилизации неопасных</w:t>
      </w:r>
      <w:r>
        <w:rPr>
          <w:rFonts w:eastAsia="Calibri"/>
          <w:lang w:eastAsia="en-US"/>
        </w:rPr>
        <w:t xml:space="preserve"> отходов включая  полигон в </w:t>
      </w:r>
      <w:proofErr w:type="spellStart"/>
      <w:r>
        <w:rPr>
          <w:rFonts w:eastAsia="Calibri"/>
          <w:lang w:eastAsia="en-US"/>
        </w:rPr>
        <w:t>г.Нефтеюганске</w:t>
      </w:r>
      <w:proofErr w:type="spellEnd"/>
      <w:r>
        <w:rPr>
          <w:rFonts w:eastAsia="Calibri"/>
          <w:lang w:eastAsia="en-US"/>
        </w:rPr>
        <w:t xml:space="preserve">  по инициативе ТОУРПН, был рассмотрен на межведомственном совещании при администрации  города.</w:t>
      </w:r>
    </w:p>
    <w:p w:rsidR="00BB5E43" w:rsidRDefault="00BB5E43" w:rsidP="00BB5E43">
      <w:pPr>
        <w:jc w:val="both"/>
        <w:rPr>
          <w:rFonts w:eastAsia="Calibri"/>
          <w:color w:val="222222"/>
          <w:lang w:eastAsia="en-US"/>
        </w:rPr>
      </w:pPr>
      <w:r>
        <w:rPr>
          <w:rFonts w:eastAsia="Calibri"/>
          <w:lang w:eastAsia="en-US"/>
        </w:rPr>
        <w:t xml:space="preserve">       Направлялись предложения Главе города  по проведению мероприятий </w:t>
      </w:r>
      <w:r>
        <w:rPr>
          <w:rFonts w:eastAsia="Arial Unicode MS"/>
          <w:lang w:eastAsia="en-US"/>
        </w:rPr>
        <w:t xml:space="preserve">в сфере обращения с отходами и  содержания территорий, </w:t>
      </w:r>
      <w:r>
        <w:rPr>
          <w:rFonts w:eastAsia="Calibri"/>
          <w:lang w:eastAsia="en-US"/>
        </w:rPr>
        <w:t xml:space="preserve"> в соответствии с требованиями санитарного законодательства в период весеннего половодья. Направлялись предписания в ДЖКХ  о проведении  дополнительных(профилактических) мероприятиях по исполнению требований санитарного законодательства содержания городской территории  в п</w:t>
      </w:r>
      <w:r w:rsidR="001F51CB">
        <w:rPr>
          <w:rFonts w:eastAsia="Calibri"/>
          <w:lang w:eastAsia="en-US"/>
        </w:rPr>
        <w:t>ериод весеннего половодья в 20</w:t>
      </w:r>
      <w:r w:rsidR="00DC1A45">
        <w:rPr>
          <w:rFonts w:eastAsia="Calibri"/>
          <w:lang w:eastAsia="en-US"/>
        </w:rPr>
        <w:t>21</w:t>
      </w:r>
      <w:r>
        <w:rPr>
          <w:rFonts w:eastAsia="Calibri"/>
          <w:lang w:eastAsia="en-US"/>
        </w:rPr>
        <w:t xml:space="preserve"> году.  </w:t>
      </w:r>
    </w:p>
    <w:p w:rsidR="00BB5E43" w:rsidRDefault="00BB5E43" w:rsidP="00BB5E43">
      <w:pPr>
        <w:ind w:firstLine="360"/>
        <w:jc w:val="both"/>
        <w:rPr>
          <w:rFonts w:eastAsia="Arial Unicode MS"/>
        </w:rPr>
      </w:pPr>
    </w:p>
    <w:p w:rsidR="00DD34BB" w:rsidRDefault="00DD34BB"/>
    <w:sectPr w:rsidR="00DD34BB" w:rsidSect="001F075D">
      <w:headerReference w:type="even" r:id="rId9"/>
      <w:headerReference w:type="default" r:id="rId10"/>
      <w:footerReference w:type="even" r:id="rId11"/>
      <w:footerReference w:type="default" r:id="rId12"/>
      <w:headerReference w:type="first" r:id="rId13"/>
      <w:footerReference w:type="first" r:id="rId14"/>
      <w:pgSz w:w="11906" w:h="16838"/>
      <w:pgMar w:top="1134" w:right="850" w:bottom="1134" w:left="1701" w:header="708" w:footer="708" w:gutter="0"/>
      <w:pgNumType w:start="8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3056" w:rsidRDefault="00C03056" w:rsidP="003D2612">
      <w:r>
        <w:separator/>
      </w:r>
    </w:p>
  </w:endnote>
  <w:endnote w:type="continuationSeparator" w:id="0">
    <w:p w:rsidR="00C03056" w:rsidRDefault="00C03056" w:rsidP="003D26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075D" w:rsidRDefault="001F075D">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7925482"/>
      <w:docPartObj>
        <w:docPartGallery w:val="Page Numbers (Bottom of Page)"/>
        <w:docPartUnique/>
      </w:docPartObj>
    </w:sdtPr>
    <w:sdtEndPr/>
    <w:sdtContent>
      <w:bookmarkStart w:id="0" w:name="_GoBack" w:displacedByCustomXml="prev"/>
      <w:bookmarkEnd w:id="0" w:displacedByCustomXml="prev"/>
      <w:p w:rsidR="001C4C80" w:rsidRDefault="001C4C80">
        <w:pPr>
          <w:pStyle w:val="ad"/>
          <w:jc w:val="center"/>
        </w:pPr>
        <w:r>
          <w:fldChar w:fldCharType="begin"/>
        </w:r>
        <w:r>
          <w:instrText>PAGE   \* MERGEFORMAT</w:instrText>
        </w:r>
        <w:r>
          <w:fldChar w:fldCharType="separate"/>
        </w:r>
        <w:r w:rsidR="001F075D">
          <w:rPr>
            <w:noProof/>
          </w:rPr>
          <w:t>85</w:t>
        </w:r>
        <w:r>
          <w:fldChar w:fldCharType="end"/>
        </w:r>
      </w:p>
    </w:sdtContent>
  </w:sdt>
  <w:p w:rsidR="001C4C80" w:rsidRDefault="001C4C80">
    <w:pPr>
      <w:pStyle w:val="a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075D" w:rsidRDefault="001F075D">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3056" w:rsidRDefault="00C03056" w:rsidP="003D2612">
      <w:r>
        <w:separator/>
      </w:r>
    </w:p>
  </w:footnote>
  <w:footnote w:type="continuationSeparator" w:id="0">
    <w:p w:rsidR="00C03056" w:rsidRDefault="00C03056" w:rsidP="003D2612">
      <w:r>
        <w:continuationSeparator/>
      </w:r>
    </w:p>
  </w:footnote>
  <w:footnote w:id="1">
    <w:p w:rsidR="00023C53" w:rsidRDefault="00023C53" w:rsidP="00023C53">
      <w:pPr>
        <w:pStyle w:val="a6"/>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075D" w:rsidRDefault="001F075D">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075D" w:rsidRDefault="001F075D">
    <w:pPr>
      <w:pStyle w:val="ab"/>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075D" w:rsidRDefault="001F075D">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E31891"/>
    <w:multiLevelType w:val="hybridMultilevel"/>
    <w:tmpl w:val="3A428034"/>
    <w:lvl w:ilvl="0" w:tplc="E090861C">
      <w:start w:val="1"/>
      <w:numFmt w:val="decimal"/>
      <w:lvlText w:val="%1."/>
      <w:lvlJc w:val="left"/>
      <w:pPr>
        <w:ind w:left="70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7BDE8F10">
      <w:start w:val="1"/>
      <w:numFmt w:val="lowerLetter"/>
      <w:lvlText w:val="%2"/>
      <w:lvlJc w:val="left"/>
      <w:pPr>
        <w:ind w:left="178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DAE891BA">
      <w:start w:val="1"/>
      <w:numFmt w:val="lowerRoman"/>
      <w:lvlText w:val="%3"/>
      <w:lvlJc w:val="left"/>
      <w:pPr>
        <w:ind w:left="250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02165E9E">
      <w:start w:val="1"/>
      <w:numFmt w:val="decimal"/>
      <w:lvlText w:val="%4"/>
      <w:lvlJc w:val="left"/>
      <w:pPr>
        <w:ind w:left="322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51045F84">
      <w:start w:val="1"/>
      <w:numFmt w:val="lowerLetter"/>
      <w:lvlText w:val="%5"/>
      <w:lvlJc w:val="left"/>
      <w:pPr>
        <w:ind w:left="394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C30AD870">
      <w:start w:val="1"/>
      <w:numFmt w:val="lowerRoman"/>
      <w:lvlText w:val="%6"/>
      <w:lvlJc w:val="left"/>
      <w:pPr>
        <w:ind w:left="466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FA6A6C9C">
      <w:start w:val="1"/>
      <w:numFmt w:val="decimal"/>
      <w:lvlText w:val="%7"/>
      <w:lvlJc w:val="left"/>
      <w:pPr>
        <w:ind w:left="538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F8B03050">
      <w:start w:val="1"/>
      <w:numFmt w:val="lowerLetter"/>
      <w:lvlText w:val="%8"/>
      <w:lvlJc w:val="left"/>
      <w:pPr>
        <w:ind w:left="610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C3EA9376">
      <w:start w:val="1"/>
      <w:numFmt w:val="lowerRoman"/>
      <w:lvlText w:val="%9"/>
      <w:lvlJc w:val="left"/>
      <w:pPr>
        <w:ind w:left="682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
    <w:nsid w:val="6DB45B95"/>
    <w:multiLevelType w:val="hybridMultilevel"/>
    <w:tmpl w:val="CADC02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952F73"/>
    <w:rsid w:val="00002B1F"/>
    <w:rsid w:val="00006556"/>
    <w:rsid w:val="000134D3"/>
    <w:rsid w:val="00023C53"/>
    <w:rsid w:val="00027C9D"/>
    <w:rsid w:val="000320FD"/>
    <w:rsid w:val="00036688"/>
    <w:rsid w:val="0004057F"/>
    <w:rsid w:val="00063D42"/>
    <w:rsid w:val="00087175"/>
    <w:rsid w:val="00094298"/>
    <w:rsid w:val="000973BE"/>
    <w:rsid w:val="000A2E97"/>
    <w:rsid w:val="000F05DF"/>
    <w:rsid w:val="000F749F"/>
    <w:rsid w:val="00102AC4"/>
    <w:rsid w:val="00105B51"/>
    <w:rsid w:val="00106021"/>
    <w:rsid w:val="00127C0C"/>
    <w:rsid w:val="00157500"/>
    <w:rsid w:val="001C446E"/>
    <w:rsid w:val="001C4C80"/>
    <w:rsid w:val="001F075D"/>
    <w:rsid w:val="001F51CB"/>
    <w:rsid w:val="00220BF2"/>
    <w:rsid w:val="002330F6"/>
    <w:rsid w:val="00242D0A"/>
    <w:rsid w:val="00243E1E"/>
    <w:rsid w:val="00274FF0"/>
    <w:rsid w:val="00290BAB"/>
    <w:rsid w:val="002A2D7E"/>
    <w:rsid w:val="002A3B63"/>
    <w:rsid w:val="002B404F"/>
    <w:rsid w:val="002C5788"/>
    <w:rsid w:val="003012C0"/>
    <w:rsid w:val="00304088"/>
    <w:rsid w:val="00307DFF"/>
    <w:rsid w:val="00346C5A"/>
    <w:rsid w:val="003911EB"/>
    <w:rsid w:val="0039331C"/>
    <w:rsid w:val="00393B92"/>
    <w:rsid w:val="003B4832"/>
    <w:rsid w:val="003B6C0A"/>
    <w:rsid w:val="003D2612"/>
    <w:rsid w:val="003D5184"/>
    <w:rsid w:val="003E634B"/>
    <w:rsid w:val="003F65B7"/>
    <w:rsid w:val="00406E3B"/>
    <w:rsid w:val="00425DAA"/>
    <w:rsid w:val="00462562"/>
    <w:rsid w:val="004913BD"/>
    <w:rsid w:val="004B44AE"/>
    <w:rsid w:val="004B4E5C"/>
    <w:rsid w:val="004B5BA0"/>
    <w:rsid w:val="004C4A38"/>
    <w:rsid w:val="004C6F31"/>
    <w:rsid w:val="004D7D5A"/>
    <w:rsid w:val="004E621B"/>
    <w:rsid w:val="00501EF4"/>
    <w:rsid w:val="005051E7"/>
    <w:rsid w:val="00520CB2"/>
    <w:rsid w:val="00561A09"/>
    <w:rsid w:val="00563A35"/>
    <w:rsid w:val="0057155F"/>
    <w:rsid w:val="0059167E"/>
    <w:rsid w:val="00592438"/>
    <w:rsid w:val="005A4BDD"/>
    <w:rsid w:val="005B5589"/>
    <w:rsid w:val="005C1411"/>
    <w:rsid w:val="005E0C0D"/>
    <w:rsid w:val="005E22F0"/>
    <w:rsid w:val="005E5399"/>
    <w:rsid w:val="005F17B0"/>
    <w:rsid w:val="005F5907"/>
    <w:rsid w:val="005F7875"/>
    <w:rsid w:val="0061727A"/>
    <w:rsid w:val="00624295"/>
    <w:rsid w:val="006303C9"/>
    <w:rsid w:val="00682AEF"/>
    <w:rsid w:val="00695957"/>
    <w:rsid w:val="006B0173"/>
    <w:rsid w:val="006C6783"/>
    <w:rsid w:val="006D6729"/>
    <w:rsid w:val="006E0A65"/>
    <w:rsid w:val="006E20CA"/>
    <w:rsid w:val="006E5049"/>
    <w:rsid w:val="006F10B4"/>
    <w:rsid w:val="006F3FD3"/>
    <w:rsid w:val="00703F46"/>
    <w:rsid w:val="00714385"/>
    <w:rsid w:val="00715812"/>
    <w:rsid w:val="00730B80"/>
    <w:rsid w:val="0075196E"/>
    <w:rsid w:val="00772039"/>
    <w:rsid w:val="007776D5"/>
    <w:rsid w:val="00796AA8"/>
    <w:rsid w:val="007A4930"/>
    <w:rsid w:val="007A6A58"/>
    <w:rsid w:val="007B24B4"/>
    <w:rsid w:val="007B6B22"/>
    <w:rsid w:val="007F3285"/>
    <w:rsid w:val="007F4C7B"/>
    <w:rsid w:val="00800B7A"/>
    <w:rsid w:val="008035CB"/>
    <w:rsid w:val="0082003F"/>
    <w:rsid w:val="00826173"/>
    <w:rsid w:val="00845024"/>
    <w:rsid w:val="00846674"/>
    <w:rsid w:val="00860692"/>
    <w:rsid w:val="00864827"/>
    <w:rsid w:val="00886BFD"/>
    <w:rsid w:val="008E57D5"/>
    <w:rsid w:val="008E7A0C"/>
    <w:rsid w:val="00902097"/>
    <w:rsid w:val="00906509"/>
    <w:rsid w:val="00920FA2"/>
    <w:rsid w:val="00952D19"/>
    <w:rsid w:val="00952F73"/>
    <w:rsid w:val="00963BF5"/>
    <w:rsid w:val="00984C3A"/>
    <w:rsid w:val="00992A41"/>
    <w:rsid w:val="00992CE3"/>
    <w:rsid w:val="009931F3"/>
    <w:rsid w:val="00993A43"/>
    <w:rsid w:val="009A15BF"/>
    <w:rsid w:val="009A7C79"/>
    <w:rsid w:val="009C1729"/>
    <w:rsid w:val="009C565E"/>
    <w:rsid w:val="009E5AE1"/>
    <w:rsid w:val="00A05130"/>
    <w:rsid w:val="00A07AB5"/>
    <w:rsid w:val="00A246C6"/>
    <w:rsid w:val="00A53A59"/>
    <w:rsid w:val="00A72119"/>
    <w:rsid w:val="00A76B2C"/>
    <w:rsid w:val="00A97C42"/>
    <w:rsid w:val="00AA211F"/>
    <w:rsid w:val="00AB7ABF"/>
    <w:rsid w:val="00AB7D71"/>
    <w:rsid w:val="00AC0751"/>
    <w:rsid w:val="00AD2BDE"/>
    <w:rsid w:val="00AE26FA"/>
    <w:rsid w:val="00AF3D74"/>
    <w:rsid w:val="00AF445E"/>
    <w:rsid w:val="00B10200"/>
    <w:rsid w:val="00B11A4D"/>
    <w:rsid w:val="00B1257B"/>
    <w:rsid w:val="00B21B55"/>
    <w:rsid w:val="00B33DE5"/>
    <w:rsid w:val="00B57F59"/>
    <w:rsid w:val="00B605B7"/>
    <w:rsid w:val="00B638F5"/>
    <w:rsid w:val="00B65D0F"/>
    <w:rsid w:val="00B776C7"/>
    <w:rsid w:val="00B83766"/>
    <w:rsid w:val="00BA024F"/>
    <w:rsid w:val="00BA0365"/>
    <w:rsid w:val="00BB5E43"/>
    <w:rsid w:val="00BB681D"/>
    <w:rsid w:val="00BC07BB"/>
    <w:rsid w:val="00BE24AE"/>
    <w:rsid w:val="00C03056"/>
    <w:rsid w:val="00C23BDB"/>
    <w:rsid w:val="00C2435C"/>
    <w:rsid w:val="00C46802"/>
    <w:rsid w:val="00C46A7D"/>
    <w:rsid w:val="00C91DA4"/>
    <w:rsid w:val="00CB0CA9"/>
    <w:rsid w:val="00CC277E"/>
    <w:rsid w:val="00CD1273"/>
    <w:rsid w:val="00CD6618"/>
    <w:rsid w:val="00CE4B03"/>
    <w:rsid w:val="00CF1892"/>
    <w:rsid w:val="00CF661E"/>
    <w:rsid w:val="00D01FDC"/>
    <w:rsid w:val="00D435A6"/>
    <w:rsid w:val="00D6678F"/>
    <w:rsid w:val="00D825B0"/>
    <w:rsid w:val="00D933BE"/>
    <w:rsid w:val="00D9664B"/>
    <w:rsid w:val="00DA2025"/>
    <w:rsid w:val="00DA2CD3"/>
    <w:rsid w:val="00DC1A45"/>
    <w:rsid w:val="00DD34BB"/>
    <w:rsid w:val="00DD41AC"/>
    <w:rsid w:val="00DE0B47"/>
    <w:rsid w:val="00DF28BF"/>
    <w:rsid w:val="00DF6C58"/>
    <w:rsid w:val="00E127E8"/>
    <w:rsid w:val="00E12FA5"/>
    <w:rsid w:val="00E14C29"/>
    <w:rsid w:val="00E31D30"/>
    <w:rsid w:val="00E41174"/>
    <w:rsid w:val="00E50596"/>
    <w:rsid w:val="00E51250"/>
    <w:rsid w:val="00E72270"/>
    <w:rsid w:val="00EC08F9"/>
    <w:rsid w:val="00F118A4"/>
    <w:rsid w:val="00F254DB"/>
    <w:rsid w:val="00F30C06"/>
    <w:rsid w:val="00F7438E"/>
    <w:rsid w:val="00F80057"/>
    <w:rsid w:val="00F80166"/>
    <w:rsid w:val="00F82433"/>
    <w:rsid w:val="00F82CF5"/>
    <w:rsid w:val="00FA2CB4"/>
    <w:rsid w:val="00FB29CE"/>
    <w:rsid w:val="00FD6A1E"/>
    <w:rsid w:val="00FE5D1E"/>
    <w:rsid w:val="00FF271D"/>
    <w:rsid w:val="00FF67A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5E4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unhideWhenUsed/>
    <w:rsid w:val="00BB5E43"/>
    <w:pPr>
      <w:jc w:val="both"/>
    </w:pPr>
    <w:rPr>
      <w:sz w:val="28"/>
      <w:szCs w:val="20"/>
    </w:rPr>
  </w:style>
  <w:style w:type="character" w:customStyle="1" w:styleId="a4">
    <w:name w:val="Основной текст Знак"/>
    <w:basedOn w:val="a0"/>
    <w:link w:val="a3"/>
    <w:uiPriority w:val="99"/>
    <w:rsid w:val="00BB5E43"/>
    <w:rPr>
      <w:rFonts w:ascii="Times New Roman" w:eastAsia="Times New Roman" w:hAnsi="Times New Roman" w:cs="Times New Roman"/>
      <w:sz w:val="28"/>
      <w:szCs w:val="20"/>
      <w:lang w:eastAsia="ru-RU"/>
    </w:rPr>
  </w:style>
  <w:style w:type="table" w:customStyle="1" w:styleId="1">
    <w:name w:val="Сетка таблицы1"/>
    <w:basedOn w:val="a1"/>
    <w:next w:val="a5"/>
    <w:uiPriority w:val="59"/>
    <w:rsid w:val="0015750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5">
    <w:name w:val="Table Grid"/>
    <w:basedOn w:val="a1"/>
    <w:uiPriority w:val="59"/>
    <w:rsid w:val="0015750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footnote text"/>
    <w:basedOn w:val="a"/>
    <w:link w:val="a7"/>
    <w:semiHidden/>
    <w:unhideWhenUsed/>
    <w:rsid w:val="003D2612"/>
    <w:rPr>
      <w:sz w:val="20"/>
      <w:szCs w:val="20"/>
    </w:rPr>
  </w:style>
  <w:style w:type="character" w:customStyle="1" w:styleId="a7">
    <w:name w:val="Текст сноски Знак"/>
    <w:basedOn w:val="a0"/>
    <w:link w:val="a6"/>
    <w:semiHidden/>
    <w:rsid w:val="003D2612"/>
    <w:rPr>
      <w:rFonts w:ascii="Times New Roman" w:eastAsia="Times New Roman" w:hAnsi="Times New Roman" w:cs="Times New Roman"/>
      <w:sz w:val="20"/>
      <w:szCs w:val="20"/>
      <w:lang w:eastAsia="ru-RU"/>
    </w:rPr>
  </w:style>
  <w:style w:type="table" w:customStyle="1" w:styleId="11">
    <w:name w:val="Сетка таблицы11"/>
    <w:basedOn w:val="a1"/>
    <w:next w:val="a5"/>
    <w:uiPriority w:val="59"/>
    <w:rsid w:val="003D26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B65D0F"/>
    <w:pPr>
      <w:autoSpaceDE w:val="0"/>
      <w:autoSpaceDN w:val="0"/>
      <w:ind w:left="720"/>
      <w:contextualSpacing/>
    </w:pPr>
    <w:rPr>
      <w:rFonts w:eastAsiaTheme="minorEastAsia"/>
      <w:sz w:val="20"/>
      <w:szCs w:val="20"/>
    </w:rPr>
  </w:style>
  <w:style w:type="paragraph" w:styleId="a9">
    <w:name w:val="No Spacing"/>
    <w:uiPriority w:val="1"/>
    <w:qFormat/>
    <w:rsid w:val="00462562"/>
    <w:pPr>
      <w:spacing w:after="0" w:line="240" w:lineRule="auto"/>
    </w:pPr>
    <w:rPr>
      <w:rFonts w:ascii="Calibri" w:eastAsia="Times New Roman" w:hAnsi="Calibri" w:cs="Times New Roman"/>
      <w:lang w:eastAsia="ru-RU"/>
    </w:rPr>
  </w:style>
  <w:style w:type="paragraph" w:customStyle="1" w:styleId="aa">
    <w:name w:val="Таблицы (моноширинный)"/>
    <w:basedOn w:val="a"/>
    <w:next w:val="a"/>
    <w:rsid w:val="00462562"/>
    <w:pPr>
      <w:widowControl w:val="0"/>
      <w:autoSpaceDE w:val="0"/>
      <w:autoSpaceDN w:val="0"/>
      <w:adjustRightInd w:val="0"/>
      <w:jc w:val="both"/>
    </w:pPr>
    <w:rPr>
      <w:rFonts w:ascii="Courier New" w:hAnsi="Courier New" w:cs="Courier New"/>
      <w:sz w:val="20"/>
      <w:szCs w:val="20"/>
      <w:lang w:val="en-US" w:eastAsia="en-US" w:bidi="en-US"/>
    </w:rPr>
  </w:style>
  <w:style w:type="paragraph" w:customStyle="1" w:styleId="ConsPlusTitle">
    <w:name w:val="ConsPlusTitle"/>
    <w:rsid w:val="00462562"/>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b">
    <w:name w:val="header"/>
    <w:basedOn w:val="a"/>
    <w:link w:val="ac"/>
    <w:uiPriority w:val="99"/>
    <w:unhideWhenUsed/>
    <w:rsid w:val="001C4C80"/>
    <w:pPr>
      <w:tabs>
        <w:tab w:val="center" w:pos="4677"/>
        <w:tab w:val="right" w:pos="9355"/>
      </w:tabs>
    </w:pPr>
  </w:style>
  <w:style w:type="character" w:customStyle="1" w:styleId="ac">
    <w:name w:val="Верхний колонтитул Знак"/>
    <w:basedOn w:val="a0"/>
    <w:link w:val="ab"/>
    <w:uiPriority w:val="99"/>
    <w:rsid w:val="001C4C80"/>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1C4C80"/>
    <w:pPr>
      <w:tabs>
        <w:tab w:val="center" w:pos="4677"/>
        <w:tab w:val="right" w:pos="9355"/>
      </w:tabs>
    </w:pPr>
  </w:style>
  <w:style w:type="character" w:customStyle="1" w:styleId="ae">
    <w:name w:val="Нижний колонтитул Знак"/>
    <w:basedOn w:val="a0"/>
    <w:link w:val="ad"/>
    <w:uiPriority w:val="99"/>
    <w:rsid w:val="001C4C80"/>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5E4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unhideWhenUsed/>
    <w:rsid w:val="00BB5E43"/>
    <w:pPr>
      <w:jc w:val="both"/>
    </w:pPr>
    <w:rPr>
      <w:sz w:val="28"/>
      <w:szCs w:val="20"/>
    </w:rPr>
  </w:style>
  <w:style w:type="character" w:customStyle="1" w:styleId="a4">
    <w:name w:val="Основной текст Знак"/>
    <w:basedOn w:val="a0"/>
    <w:link w:val="a3"/>
    <w:uiPriority w:val="99"/>
    <w:rsid w:val="00BB5E43"/>
    <w:rPr>
      <w:rFonts w:ascii="Times New Roman" w:eastAsia="Times New Roman" w:hAnsi="Times New Roman" w:cs="Times New Roman"/>
      <w:sz w:val="28"/>
      <w:szCs w:val="20"/>
      <w:lang w:eastAsia="ru-RU"/>
    </w:rPr>
  </w:style>
  <w:style w:type="table" w:customStyle="1" w:styleId="1">
    <w:name w:val="Сетка таблицы1"/>
    <w:basedOn w:val="a1"/>
    <w:next w:val="a5"/>
    <w:uiPriority w:val="59"/>
    <w:rsid w:val="0015750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5">
    <w:name w:val="Table Grid"/>
    <w:basedOn w:val="a1"/>
    <w:uiPriority w:val="59"/>
    <w:rsid w:val="0015750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00536">
      <w:bodyDiv w:val="1"/>
      <w:marLeft w:val="0"/>
      <w:marRight w:val="0"/>
      <w:marTop w:val="0"/>
      <w:marBottom w:val="0"/>
      <w:divBdr>
        <w:top w:val="none" w:sz="0" w:space="0" w:color="auto"/>
        <w:left w:val="none" w:sz="0" w:space="0" w:color="auto"/>
        <w:bottom w:val="none" w:sz="0" w:space="0" w:color="auto"/>
        <w:right w:val="none" w:sz="0" w:space="0" w:color="auto"/>
      </w:divBdr>
    </w:div>
    <w:div w:id="1109425856">
      <w:bodyDiv w:val="1"/>
      <w:marLeft w:val="0"/>
      <w:marRight w:val="0"/>
      <w:marTop w:val="0"/>
      <w:marBottom w:val="0"/>
      <w:divBdr>
        <w:top w:val="none" w:sz="0" w:space="0" w:color="auto"/>
        <w:left w:val="none" w:sz="0" w:space="0" w:color="auto"/>
        <w:bottom w:val="none" w:sz="0" w:space="0" w:color="auto"/>
        <w:right w:val="none" w:sz="0" w:space="0" w:color="auto"/>
      </w:divBdr>
    </w:div>
    <w:div w:id="2095396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EC0D87-671E-485A-9546-A63737542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614</TotalTime>
  <Pages>18</Pages>
  <Words>8996</Words>
  <Characters>51283</Characters>
  <Application>Microsoft Office Word</Application>
  <DocSecurity>0</DocSecurity>
  <Lines>427</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dc:creator>
  <cp:keywords/>
  <dc:description/>
  <cp:lastModifiedBy>User</cp:lastModifiedBy>
  <cp:revision>192</cp:revision>
  <dcterms:created xsi:type="dcterms:W3CDTF">2019-02-07T06:08:00Z</dcterms:created>
  <dcterms:modified xsi:type="dcterms:W3CDTF">2022-03-03T12:51:00Z</dcterms:modified>
</cp:coreProperties>
</file>