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EB" w:rsidRPr="00226648" w:rsidRDefault="004436EB" w:rsidP="004436E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профессиональной заболеваемости</w:t>
      </w:r>
    </w:p>
    <w:p w:rsidR="004436EB" w:rsidRPr="00224722" w:rsidRDefault="004436EB" w:rsidP="00443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заболеваемость выступает как отдельная категория отражающая состояние условий труда и здоровье работающих. </w:t>
      </w:r>
    </w:p>
    <w:p w:rsidR="004436EB" w:rsidRDefault="004436EB" w:rsidP="004436EB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Неблагоприятные  условия труда, недостатки в обеспечении работающих средствами коллективной и индивидуальной защиты, несоблюдение правил техники безопасности при проведении работ ведут к регистрации хронической профессиональной заболеваемости.</w:t>
      </w:r>
    </w:p>
    <w:p w:rsidR="004436EB" w:rsidRDefault="004436EB" w:rsidP="004436EB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722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24722">
        <w:rPr>
          <w:rFonts w:ascii="Times New Roman" w:hAnsi="Times New Roman" w:cs="Times New Roman"/>
          <w:sz w:val="24"/>
          <w:szCs w:val="24"/>
        </w:rPr>
        <w:t xml:space="preserve"> года в ТО УРПН   поступило  </w:t>
      </w:r>
      <w:r w:rsidRPr="008C327C">
        <w:rPr>
          <w:rFonts w:ascii="Times New Roman" w:hAnsi="Times New Roman" w:cs="Times New Roman"/>
          <w:sz w:val="24"/>
          <w:szCs w:val="24"/>
        </w:rPr>
        <w:t>17</w:t>
      </w:r>
      <w:r w:rsidRPr="00224722">
        <w:rPr>
          <w:rFonts w:ascii="Times New Roman" w:hAnsi="Times New Roman" w:cs="Times New Roman"/>
          <w:sz w:val="24"/>
          <w:szCs w:val="24"/>
        </w:rPr>
        <w:t xml:space="preserve"> извещений об установлении предварительного диагноза профессионального заболевания (в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24722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24722">
        <w:rPr>
          <w:rFonts w:ascii="Times New Roman" w:hAnsi="Times New Roman" w:cs="Times New Roman"/>
          <w:sz w:val="24"/>
          <w:szCs w:val="24"/>
        </w:rPr>
        <w:t xml:space="preserve"> извещений),  из них: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24722">
        <w:rPr>
          <w:rFonts w:ascii="Times New Roman" w:hAnsi="Times New Roman" w:cs="Times New Roman"/>
          <w:sz w:val="24"/>
          <w:szCs w:val="24"/>
        </w:rPr>
        <w:t xml:space="preserve"> из ОГАУЗ «Стрижевская городская больница», </w:t>
      </w:r>
      <w:r>
        <w:rPr>
          <w:rFonts w:ascii="Times New Roman" w:hAnsi="Times New Roman" w:cs="Times New Roman"/>
          <w:sz w:val="24"/>
          <w:szCs w:val="24"/>
        </w:rPr>
        <w:t>5-</w:t>
      </w:r>
      <w:r w:rsidRPr="00164CB8">
        <w:rPr>
          <w:rFonts w:ascii="Times New Roman" w:hAnsi="Times New Roman" w:cs="Times New Roman"/>
          <w:sz w:val="24"/>
          <w:szCs w:val="24"/>
        </w:rPr>
        <w:t>БУ ХМАО-Югры «</w:t>
      </w:r>
      <w:proofErr w:type="spellStart"/>
      <w:r w:rsidRPr="00164CB8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164CB8">
        <w:rPr>
          <w:rFonts w:ascii="Times New Roman" w:hAnsi="Times New Roman" w:cs="Times New Roman"/>
          <w:sz w:val="24"/>
          <w:szCs w:val="24"/>
        </w:rPr>
        <w:t xml:space="preserve"> окружная кл</w:t>
      </w:r>
      <w:r>
        <w:rPr>
          <w:rFonts w:ascii="Times New Roman" w:hAnsi="Times New Roman" w:cs="Times New Roman"/>
          <w:sz w:val="24"/>
          <w:szCs w:val="24"/>
        </w:rPr>
        <w:t xml:space="preserve">иническая больница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им.В.И.Яцкив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24722">
        <w:rPr>
          <w:rFonts w:ascii="Times New Roman" w:hAnsi="Times New Roman" w:cs="Times New Roman"/>
          <w:sz w:val="24"/>
          <w:szCs w:val="24"/>
        </w:rPr>
        <w:t>- БУ ХМАО-Югры «</w:t>
      </w:r>
      <w:r>
        <w:rPr>
          <w:rFonts w:ascii="Times New Roman" w:hAnsi="Times New Roman" w:cs="Times New Roman"/>
          <w:sz w:val="24"/>
          <w:szCs w:val="24"/>
        </w:rPr>
        <w:t xml:space="preserve">ПЯОКБ», </w:t>
      </w:r>
      <w:r w:rsidRPr="002247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 БУ ХМАО-Югры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Нефтеюганская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районная больница», 1- из «Витамин+», 1  из Саратовской университетской кинической больницы,2-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ПрофЭнергоМед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436EB" w:rsidRPr="00224722" w:rsidRDefault="004436EB" w:rsidP="004436EB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19"/>
        <w:gridCol w:w="1897"/>
        <w:gridCol w:w="2977"/>
      </w:tblGrid>
      <w:tr w:rsidR="004436EB" w:rsidRPr="00224722" w:rsidTr="009805C8"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 установлении  предварительного диагноза профзаболевания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СГХУТ</w:t>
            </w:r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установлении заключительного диагноза профзаболевания</w:t>
            </w:r>
          </w:p>
        </w:tc>
      </w:tr>
      <w:tr w:rsidR="004436EB" w:rsidRPr="00224722" w:rsidTr="009805C8"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7 (расследовано 11 </w:t>
            </w: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переходящие</w:t>
            </w:r>
            <w:proofErr w:type="gram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с 2015 года)</w:t>
            </w:r>
          </w:p>
        </w:tc>
      </w:tr>
      <w:tr w:rsidR="004436EB" w:rsidRPr="00224722" w:rsidTr="009805C8"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(расследовано 11)</w:t>
            </w:r>
          </w:p>
        </w:tc>
      </w:tr>
      <w:tr w:rsidR="004436EB" w:rsidRPr="00224722" w:rsidTr="009805C8">
        <w:trPr>
          <w:trHeight w:val="1105"/>
        </w:trPr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32 (4 перенаправлены в ТО по месту работы)</w:t>
            </w:r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  <w:tr w:rsidR="004436EB" w:rsidRPr="00224722" w:rsidTr="009805C8">
        <w:trPr>
          <w:trHeight w:val="301"/>
        </w:trPr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(3 возвращены для внесения изменений)</w:t>
            </w:r>
            <w:proofErr w:type="gramEnd"/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  <w:tr w:rsidR="004436EB" w:rsidRPr="00224722" w:rsidTr="009805C8">
        <w:trPr>
          <w:trHeight w:val="301"/>
        </w:trPr>
        <w:tc>
          <w:tcPr>
            <w:tcW w:w="1384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9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(расследовано 1)</w:t>
            </w:r>
          </w:p>
        </w:tc>
      </w:tr>
      <w:tr w:rsidR="004436EB" w:rsidRPr="00224722" w:rsidTr="009805C8">
        <w:trPr>
          <w:trHeight w:val="301"/>
        </w:trPr>
        <w:tc>
          <w:tcPr>
            <w:tcW w:w="1384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119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7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CB8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расследовано 16)</w:t>
            </w:r>
          </w:p>
        </w:tc>
      </w:tr>
    </w:tbl>
    <w:p w:rsidR="004436EB" w:rsidRDefault="004436EB" w:rsidP="004436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6EB" w:rsidRPr="00224722" w:rsidRDefault="004436EB" w:rsidP="004436EB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В связи  с тем, что профзаболевания 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>выявляются  у лиц старше 55 лет увеличилась</w:t>
      </w:r>
      <w:proofErr w:type="gramEnd"/>
      <w:r w:rsidRPr="00224722">
        <w:rPr>
          <w:rFonts w:ascii="Times New Roman" w:hAnsi="Times New Roman" w:cs="Times New Roman"/>
          <w:sz w:val="24"/>
          <w:szCs w:val="24"/>
        </w:rPr>
        <w:t xml:space="preserve"> доля  предварительных  диагнозов  профзаболевания устанавливаемых  в лечебных учреждениях расположенных за пределами ХМАО, по месту жительства  работников после выхода на пенсию. </w:t>
      </w:r>
    </w:p>
    <w:p w:rsidR="004436EB" w:rsidRPr="00224722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Составлено 30  СГХУТ (с 2020</w:t>
      </w:r>
      <w:r w:rsidRPr="00224722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24722">
        <w:rPr>
          <w:rFonts w:ascii="Times New Roman" w:hAnsi="Times New Roman" w:cs="Times New Roman"/>
          <w:sz w:val="24"/>
          <w:szCs w:val="24"/>
        </w:rPr>
        <w:t xml:space="preserve"> СГХУТ) </w:t>
      </w:r>
    </w:p>
    <w:p w:rsidR="004436EB" w:rsidRPr="00224722" w:rsidRDefault="004436EB" w:rsidP="004436EB">
      <w:pPr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24722">
        <w:rPr>
          <w:rFonts w:ascii="Times New Roman" w:hAnsi="Times New Roman" w:cs="Times New Roman"/>
          <w:sz w:val="24"/>
          <w:szCs w:val="24"/>
        </w:rPr>
        <w:t xml:space="preserve"> году установлено заключительных диагнозов профессионального заболевания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224722">
        <w:rPr>
          <w:rFonts w:ascii="Times New Roman" w:hAnsi="Times New Roman" w:cs="Times New Roman"/>
          <w:sz w:val="24"/>
          <w:szCs w:val="24"/>
        </w:rPr>
        <w:t xml:space="preserve">, расследовано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24722">
        <w:rPr>
          <w:rFonts w:ascii="Times New Roman" w:hAnsi="Times New Roman" w:cs="Times New Roman"/>
          <w:sz w:val="24"/>
          <w:szCs w:val="24"/>
        </w:rPr>
        <w:t xml:space="preserve"> случа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24722">
        <w:rPr>
          <w:rFonts w:ascii="Times New Roman" w:hAnsi="Times New Roman" w:cs="Times New Roman"/>
          <w:sz w:val="24"/>
          <w:szCs w:val="24"/>
        </w:rPr>
        <w:t xml:space="preserve"> профессиональных заболеваний. </w:t>
      </w:r>
    </w:p>
    <w:tbl>
      <w:tblPr>
        <w:tblW w:w="9478" w:type="dxa"/>
        <w:jc w:val="center"/>
        <w:tblInd w:w="93" w:type="dxa"/>
        <w:tblLook w:val="0000" w:firstRow="0" w:lastRow="0" w:firstColumn="0" w:lastColumn="0" w:noHBand="0" w:noVBand="0"/>
      </w:tblPr>
      <w:tblGrid>
        <w:gridCol w:w="2077"/>
        <w:gridCol w:w="947"/>
        <w:gridCol w:w="947"/>
        <w:gridCol w:w="947"/>
        <w:gridCol w:w="814"/>
        <w:gridCol w:w="721"/>
        <w:gridCol w:w="842"/>
        <w:gridCol w:w="777"/>
        <w:gridCol w:w="65"/>
        <w:gridCol w:w="502"/>
        <w:gridCol w:w="274"/>
        <w:gridCol w:w="565"/>
      </w:tblGrid>
      <w:tr w:rsidR="004436EB" w:rsidRPr="00224722" w:rsidTr="009805C8">
        <w:trPr>
          <w:gridAfter w:val="1"/>
          <w:wAfter w:w="565" w:type="dxa"/>
          <w:trHeight w:val="1035"/>
          <w:jc w:val="center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ТОУправления</w:t>
            </w:r>
            <w:proofErr w:type="spell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по ХМАО-Югре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Актов профзаболеваний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B" w:rsidRPr="00224722" w:rsidTr="009805C8">
        <w:trPr>
          <w:gridAfter w:val="1"/>
          <w:wAfter w:w="565" w:type="dxa"/>
          <w:trHeight w:val="225"/>
          <w:jc w:val="center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6EB" w:rsidRPr="00224722" w:rsidRDefault="004436EB" w:rsidP="00980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436EB" w:rsidRPr="00224722" w:rsidTr="009805C8">
        <w:trPr>
          <w:gridAfter w:val="1"/>
          <w:wAfter w:w="565" w:type="dxa"/>
          <w:trHeight w:val="225"/>
          <w:jc w:val="center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 Нефтеюганск, Нефтеюганский район, 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ыть-Ях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36EB" w:rsidRPr="00224722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36EB" w:rsidRDefault="004436EB" w:rsidP="0098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36EB" w:rsidRPr="00224722" w:rsidTr="009805C8">
        <w:trPr>
          <w:gridAfter w:val="2"/>
          <w:wAfter w:w="839" w:type="dxa"/>
          <w:trHeight w:val="225"/>
          <w:jc w:val="center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436EB" w:rsidRPr="006E442E" w:rsidRDefault="004436EB" w:rsidP="009805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B" w:rsidRPr="00224722" w:rsidTr="009805C8">
        <w:trPr>
          <w:trHeight w:val="225"/>
          <w:jc w:val="center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nil"/>
              <w:bottom w:val="nil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6E442E" w:rsidRDefault="004436EB" w:rsidP="009805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436EB" w:rsidRPr="00224722" w:rsidRDefault="004436EB" w:rsidP="00980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6EB" w:rsidRPr="00224722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В структуре профессиональных заболеваний преобладают хронические формы. Распределены  профессиональные заболевания по этиологии следующим образом: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Нейросенсорная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тугоухость 5 сл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B90760">
        <w:rPr>
          <w:rFonts w:ascii="Times New Roman" w:hAnsi="Times New Roman" w:cs="Times New Roman"/>
          <w:sz w:val="24"/>
          <w:szCs w:val="24"/>
        </w:rPr>
        <w:t>вибрационная</w:t>
      </w:r>
      <w:r>
        <w:rPr>
          <w:rFonts w:ascii="Times New Roman" w:hAnsi="Times New Roman" w:cs="Times New Roman"/>
          <w:sz w:val="24"/>
          <w:szCs w:val="24"/>
        </w:rPr>
        <w:t xml:space="preserve">-5, радикулопатия-3,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Эпикондилез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-1, мнононевропатия-1, полинейропатия-1.</w:t>
      </w:r>
    </w:p>
    <w:p w:rsidR="004436EB" w:rsidRPr="00224722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По предприятиям профзаболевания распределились следующим образом: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4436EB" w:rsidRPr="00224722" w:rsidTr="009805C8">
        <w:tc>
          <w:tcPr>
            <w:tcW w:w="4786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4785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Количество случаев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«РН-ЮНГ»</w:t>
            </w:r>
          </w:p>
        </w:tc>
        <w:tc>
          <w:tcPr>
            <w:tcW w:w="4785" w:type="dxa"/>
          </w:tcPr>
          <w:p w:rsidR="004436EB" w:rsidRPr="00224722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Ютэй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Вертолетные услуги» 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«РН-ГРП»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Шлюмберже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Лоджелко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ИНК»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Тюмень Газ»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«РН-Сервис»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«СК « ПетроАльянс»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ИДС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«РН-Бурение»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EB" w:rsidRPr="00224722" w:rsidTr="009805C8">
        <w:tc>
          <w:tcPr>
            <w:tcW w:w="4786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«РН-Транспорт»</w:t>
            </w:r>
          </w:p>
        </w:tc>
        <w:tc>
          <w:tcPr>
            <w:tcW w:w="4785" w:type="dxa"/>
          </w:tcPr>
          <w:p w:rsidR="004436EB" w:rsidRDefault="004436EB" w:rsidP="009805C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436EB" w:rsidRDefault="004436EB" w:rsidP="004436EB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В 2021 году 100% профзаболеваний регистрировалось при стаже работы в условиях воздействия неблагоприятных производственных факторов более 10 лет. В возрастной категории наибольшая доля профзаболеваний приходится на возраст 50 лет и выше.       Окончательные диагнозы профессиональных заболеваний в 62,5% установлены по результатам периодических медицинских осмотров и 37,5% по обращаемости</w:t>
      </w:r>
      <w:r w:rsidRPr="0022472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36EB" w:rsidRDefault="004436EB" w:rsidP="00443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36EB" w:rsidRDefault="004436EB" w:rsidP="00443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36EB" w:rsidRPr="00226648" w:rsidRDefault="004436EB" w:rsidP="00443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профе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ссиональной заболеваемости в сравнении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</w:p>
    <w:p w:rsidR="004436EB" w:rsidRPr="00226648" w:rsidRDefault="004436EB" w:rsidP="00443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годы</w:t>
      </w:r>
    </w:p>
    <w:p w:rsidR="004436EB" w:rsidRPr="00226648" w:rsidRDefault="004436EB" w:rsidP="00443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2083"/>
        <w:gridCol w:w="2282"/>
        <w:gridCol w:w="1980"/>
      </w:tblGrid>
      <w:tr w:rsidR="004436EB" w:rsidRPr="00226648" w:rsidTr="009805C8"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  <w:t>Год</w:t>
            </w:r>
          </w:p>
        </w:tc>
        <w:tc>
          <w:tcPr>
            <w:tcW w:w="4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Острая проф. патология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Хроническая проф. патология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 на 10000</w:t>
            </w:r>
          </w:p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работающих</w:t>
            </w:r>
          </w:p>
        </w:tc>
      </w:tr>
      <w:tr w:rsidR="004436EB" w:rsidRPr="00226648" w:rsidTr="009805C8"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Отравлений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заболеваний</w:t>
            </w:r>
          </w:p>
        </w:tc>
        <w:tc>
          <w:tcPr>
            <w:tcW w:w="2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436EB" w:rsidRPr="00226648" w:rsidTr="009805C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Pr="00226648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  <w:tr w:rsidR="004436EB" w:rsidRPr="00226648" w:rsidTr="009805C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  <w:tr w:rsidR="004436EB" w:rsidRPr="00226648" w:rsidTr="009805C8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6EB" w:rsidRDefault="004436EB" w:rsidP="0098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1,48</w:t>
            </w:r>
          </w:p>
        </w:tc>
      </w:tr>
    </w:tbl>
    <w:p w:rsidR="004436EB" w:rsidRPr="00226648" w:rsidRDefault="004436EB" w:rsidP="00443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EB" w:rsidRPr="00226648" w:rsidRDefault="004436EB" w:rsidP="00443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№1</w:t>
      </w:r>
    </w:p>
    <w:p w:rsidR="004436EB" w:rsidRPr="00226648" w:rsidRDefault="004436EB" w:rsidP="00443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061453" wp14:editId="42469DA7">
            <wp:extent cx="5743575" cy="2226911"/>
            <wp:effectExtent l="0" t="0" r="0" b="0"/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36EB" w:rsidRPr="00226648" w:rsidRDefault="004436EB" w:rsidP="004436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4436EB" w:rsidRDefault="004436EB" w:rsidP="00443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заболеваемость во много определяет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436EB" w:rsidRDefault="004436EB" w:rsidP="00443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-ухудшение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техникой безопасности производства в результате разрушения отраслевой системы управления охраной труда, сокращения служб охраны труда на предприятиях: не соблюдение режима работы, отсутствие контроля за использованием средств защиты.</w:t>
      </w:r>
    </w:p>
    <w:p w:rsidR="004436EB" w:rsidRDefault="004436EB" w:rsidP="00443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-ослабление ответственности работодателей и руководителей производств за состояние условий труда и охраны труда. </w:t>
      </w:r>
    </w:p>
    <w:p w:rsidR="004436EB" w:rsidRDefault="004436EB" w:rsidP="00443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-закупка и использование техники по своим шумовым и вибрационным характеристикам не соответствующей требованиям нормативных актов.</w:t>
      </w:r>
    </w:p>
    <w:p w:rsidR="004436EB" w:rsidRDefault="004436EB" w:rsidP="004436EB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436EB" w:rsidRPr="00F8190B" w:rsidRDefault="004436EB" w:rsidP="004436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8"/>
        </w:rPr>
        <w:t xml:space="preserve">          </w:t>
      </w:r>
      <w:r>
        <w:t xml:space="preserve">     </w:t>
      </w:r>
      <w:r w:rsidRPr="00F8190B">
        <w:rPr>
          <w:rFonts w:ascii="Times New Roman" w:hAnsi="Times New Roman" w:cs="Times New Roman"/>
          <w:sz w:val="24"/>
          <w:szCs w:val="24"/>
        </w:rPr>
        <w:t>Медицинские осмотры  лиц занятых на вредных и опасных производствах организованы на базе поликлиники №1 БУ ХМАО-Югры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окружная клиническая больница им. 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В.И.Яцкив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»,  ООО ЛУ  «Витамин+»,  БУ ХМАО-Югры 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Пыть-Яхская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окружная больница»,  БУ ХМАО-Югры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районная больница»,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Профэнергомед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», ООО «Юганский медицинский центр». Работники подразделений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ГазпромТрансСургут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 КС-5 и КС-6 проходят  ПМО в ведомственной организации МСЧ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ГазпромТрансСургут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».</w:t>
      </w:r>
    </w:p>
    <w:p w:rsidR="004436EB" w:rsidRPr="00F8190B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F8190B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здравоохранения и социального развития Российской Федерации (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России) от 12 апреля </w:t>
      </w:r>
      <w:smartTag w:uri="urn:schemas-microsoft-com:office:smarttags" w:element="metricconverter">
        <w:smartTagPr>
          <w:attr w:name="ProductID" w:val="2011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>. N 302н г.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</w:t>
      </w:r>
      <w:proofErr w:type="gramEnd"/>
      <w:r w:rsidRPr="00F819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190B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F8190B">
        <w:rPr>
          <w:rFonts w:ascii="Times New Roman" w:hAnsi="Times New Roman" w:cs="Times New Roman"/>
          <w:sz w:val="24"/>
          <w:szCs w:val="24"/>
        </w:rPr>
        <w:t xml:space="preserve"> с вредными и (или) опасными </w:t>
      </w:r>
      <w:r w:rsidRPr="00F8190B">
        <w:rPr>
          <w:rFonts w:ascii="Times New Roman" w:hAnsi="Times New Roman" w:cs="Times New Roman"/>
          <w:sz w:val="24"/>
          <w:szCs w:val="24"/>
        </w:rPr>
        <w:lastRenderedPageBreak/>
        <w:t>условиями труда" в отдел поступило заключительных актов по результатам ПМО 437, списков контингентов подлежащих периодическим медицинским осмотрам 47</w:t>
      </w:r>
      <w:r w:rsidRPr="00F8190B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8190B">
        <w:rPr>
          <w:rFonts w:ascii="Times New Roman" w:hAnsi="Times New Roman" w:cs="Times New Roman"/>
          <w:sz w:val="24"/>
          <w:szCs w:val="24"/>
        </w:rPr>
        <w:t xml:space="preserve"> в основном списки предоставляются муниципальными учреждениями (школы и детские сады). Списки и  заключительные акты поступают как из промпредприятий, так и из учреждений здравоохранения, образования, коммунальных объектов.</w:t>
      </w:r>
    </w:p>
    <w:p w:rsidR="004436EB" w:rsidRPr="00F8190B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Основные замечания при оформлении заключительных актов:</w:t>
      </w:r>
    </w:p>
    <w:p w:rsidR="004436EB" w:rsidRPr="00F8190B" w:rsidRDefault="004436EB" w:rsidP="004436E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К заключительных актам не прикладываются списки лиц прошедших периодический медицинский осмотр, Нарушение п.43 Приказа №302н.</w:t>
      </w:r>
    </w:p>
    <w:p w:rsidR="004436EB" w:rsidRPr="00F8190B" w:rsidRDefault="004436EB" w:rsidP="004436E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зачастую указывается не общая численность работников, занятых на тяжелых работах и на работах с вредными и (или) опасными условиями труда, а численность работников, занятых на тяжелых работах и на работах с вредными и (или) опасными условиями труда подлежащих осмотру в текущем году. Нарушение п.43 Приказа №302н.</w:t>
      </w:r>
    </w:p>
    <w:p w:rsidR="004436EB" w:rsidRPr="00F8190B" w:rsidRDefault="004436EB" w:rsidP="004436E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отсутствуют рекомендации врачебной комиссии о прохождении работниками периодического медицинского осмотра в центре профессиональной патологии раз в 5 лет, в нарушение п. 37 Приказа №302н.</w:t>
      </w:r>
    </w:p>
    <w:p w:rsidR="004436EB" w:rsidRPr="00F8190B" w:rsidRDefault="004436EB" w:rsidP="004436E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отсутствует перечень работников со стажем 5 лет и более в данной профессии, в нарушение п. 37 Приказа №302н.</w:t>
      </w:r>
    </w:p>
    <w:p w:rsidR="004436EB" w:rsidRPr="00F8190B" w:rsidRDefault="004436EB" w:rsidP="004436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6EB" w:rsidRPr="00F8190B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ПМО работников транспорта (сухопутного), работников нефтедобывающей отрасли не выполняют своей основной функции: выявление на ранней стадии признаков профессиональной патологии, вследствие чего имеет место несвоевременная диагностика начальных признаков профессиональных заболеваний, позднее выявление запущенных форм 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профпатологии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, развитие профессиональной инвалидности.  </w:t>
      </w:r>
    </w:p>
    <w:p w:rsidR="004436EB" w:rsidRPr="00F8190B" w:rsidRDefault="004436EB" w:rsidP="004436E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Все работодатели ознакомлены  с Приказом Министерства здравоохранения и социального развития РФ от 1 марта </w:t>
      </w:r>
      <w:smartTag w:uri="urn:schemas-microsoft-com:office:smarttags" w:element="metricconverter">
        <w:smartTagPr>
          <w:attr w:name="ProductID" w:val="2012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 xml:space="preserve">. № 181н  «Об утверждении типового перечня ежегодно реализуемых работодателем мероприятий по улучшению условий труда и снижению уровней профессиональных рисков», на межведомственных комиссиях по охране труда в администрациях г. Нефтеюганска и 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района заслушаны отчеты об исполнении вышеуказанного приказа предприятиями с повышенным уровнем травматизма и профессиональной заболеваемости.  </w:t>
      </w:r>
    </w:p>
    <w:p w:rsidR="004436EB" w:rsidRPr="00A63154" w:rsidRDefault="004436EB" w:rsidP="00443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154" w:rsidRPr="004436EB" w:rsidRDefault="00A63154" w:rsidP="004436EB"/>
    <w:sectPr w:rsidR="00A63154" w:rsidRPr="004436EB" w:rsidSect="006279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C4" w:rsidRDefault="008308C4" w:rsidP="00EB6E99">
      <w:pPr>
        <w:spacing w:after="0" w:line="240" w:lineRule="auto"/>
      </w:pPr>
      <w:r>
        <w:separator/>
      </w:r>
    </w:p>
  </w:endnote>
  <w:endnote w:type="continuationSeparator" w:id="0">
    <w:p w:rsidR="008308C4" w:rsidRDefault="008308C4" w:rsidP="00EB6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2" w:rsidRDefault="0062798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259228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EB6E99" w:rsidRDefault="00EB6E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982">
          <w:rPr>
            <w:noProof/>
          </w:rPr>
          <w:t>33</w:t>
        </w:r>
        <w:r>
          <w:fldChar w:fldCharType="end"/>
        </w:r>
      </w:p>
    </w:sdtContent>
  </w:sdt>
  <w:p w:rsidR="00EB6E99" w:rsidRDefault="00EB6E9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2" w:rsidRDefault="006279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C4" w:rsidRDefault="008308C4" w:rsidP="00EB6E99">
      <w:pPr>
        <w:spacing w:after="0" w:line="240" w:lineRule="auto"/>
      </w:pPr>
      <w:r>
        <w:separator/>
      </w:r>
    </w:p>
  </w:footnote>
  <w:footnote w:type="continuationSeparator" w:id="0">
    <w:p w:rsidR="008308C4" w:rsidRDefault="008308C4" w:rsidP="00EB6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2" w:rsidRDefault="0062798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2" w:rsidRDefault="0062798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2" w:rsidRDefault="006279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1771F"/>
    <w:multiLevelType w:val="singleLevel"/>
    <w:tmpl w:val="30F0F1A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41A0444"/>
    <w:multiLevelType w:val="hybridMultilevel"/>
    <w:tmpl w:val="567651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8779F"/>
    <w:multiLevelType w:val="hybridMultilevel"/>
    <w:tmpl w:val="DC94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9"/>
    <w:rsid w:val="00003255"/>
    <w:rsid w:val="0005481A"/>
    <w:rsid w:val="000558AB"/>
    <w:rsid w:val="000C1D65"/>
    <w:rsid w:val="000D0A35"/>
    <w:rsid w:val="000D6339"/>
    <w:rsid w:val="000D7829"/>
    <w:rsid w:val="000F13DC"/>
    <w:rsid w:val="000F6212"/>
    <w:rsid w:val="001001D3"/>
    <w:rsid w:val="00111CBA"/>
    <w:rsid w:val="0018123E"/>
    <w:rsid w:val="00184898"/>
    <w:rsid w:val="001B3FD9"/>
    <w:rsid w:val="001E5026"/>
    <w:rsid w:val="00224722"/>
    <w:rsid w:val="00226648"/>
    <w:rsid w:val="00227296"/>
    <w:rsid w:val="00240964"/>
    <w:rsid w:val="002932DE"/>
    <w:rsid w:val="002C6C45"/>
    <w:rsid w:val="00303E0F"/>
    <w:rsid w:val="00344EB3"/>
    <w:rsid w:val="00354B30"/>
    <w:rsid w:val="003561C2"/>
    <w:rsid w:val="003A50C1"/>
    <w:rsid w:val="00417975"/>
    <w:rsid w:val="00441080"/>
    <w:rsid w:val="004436EB"/>
    <w:rsid w:val="004A7B3A"/>
    <w:rsid w:val="004F791C"/>
    <w:rsid w:val="00537A2C"/>
    <w:rsid w:val="005B3C71"/>
    <w:rsid w:val="005B60F5"/>
    <w:rsid w:val="005C384A"/>
    <w:rsid w:val="005F72F7"/>
    <w:rsid w:val="00604EBD"/>
    <w:rsid w:val="006242F3"/>
    <w:rsid w:val="00625156"/>
    <w:rsid w:val="00627982"/>
    <w:rsid w:val="00664033"/>
    <w:rsid w:val="00665301"/>
    <w:rsid w:val="00683599"/>
    <w:rsid w:val="00740B0F"/>
    <w:rsid w:val="007D5DAC"/>
    <w:rsid w:val="00823CBB"/>
    <w:rsid w:val="008308C4"/>
    <w:rsid w:val="00835D4A"/>
    <w:rsid w:val="00862EEE"/>
    <w:rsid w:val="009541ED"/>
    <w:rsid w:val="00995E93"/>
    <w:rsid w:val="009B32D7"/>
    <w:rsid w:val="009F687B"/>
    <w:rsid w:val="00A53605"/>
    <w:rsid w:val="00A63154"/>
    <w:rsid w:val="00A8242C"/>
    <w:rsid w:val="00AF2D75"/>
    <w:rsid w:val="00B10E9E"/>
    <w:rsid w:val="00B4067F"/>
    <w:rsid w:val="00B61DE7"/>
    <w:rsid w:val="00B729F8"/>
    <w:rsid w:val="00B83FDB"/>
    <w:rsid w:val="00C07911"/>
    <w:rsid w:val="00C1628F"/>
    <w:rsid w:val="00C70AA5"/>
    <w:rsid w:val="00CB1D67"/>
    <w:rsid w:val="00CC64AF"/>
    <w:rsid w:val="00D01D25"/>
    <w:rsid w:val="00D91AD9"/>
    <w:rsid w:val="00D969AF"/>
    <w:rsid w:val="00DD3C48"/>
    <w:rsid w:val="00DE29BB"/>
    <w:rsid w:val="00EB6E99"/>
    <w:rsid w:val="00ED7D6D"/>
    <w:rsid w:val="00F10CA0"/>
    <w:rsid w:val="00F64A57"/>
    <w:rsid w:val="00F802FD"/>
    <w:rsid w:val="00F8190B"/>
    <w:rsid w:val="00F84DC1"/>
    <w:rsid w:val="00FB4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1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6E99"/>
  </w:style>
  <w:style w:type="paragraph" w:styleId="aa">
    <w:name w:val="footer"/>
    <w:basedOn w:val="a"/>
    <w:link w:val="ab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6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1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6E99"/>
  </w:style>
  <w:style w:type="paragraph" w:styleId="aa">
    <w:name w:val="footer"/>
    <w:basedOn w:val="a"/>
    <w:link w:val="ab"/>
    <w:uiPriority w:val="99"/>
    <w:unhideWhenUsed/>
    <w:rsid w:val="00EB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Динамика профессиональной заболеваемости</a:t>
            </a:r>
          </a:p>
        </c:rich>
      </c:tx>
      <c:layout>
        <c:manualLayout>
          <c:xMode val="edge"/>
          <c:yMode val="edge"/>
          <c:x val="0.22564935064935066"/>
          <c:y val="2.032520325203252E-2"/>
        </c:manualLayout>
      </c:layout>
      <c:overlay val="0"/>
      <c:spPr>
        <a:noFill/>
        <a:ln w="2531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5610505417592033"/>
          <c:y val="0.25609756097560976"/>
          <c:w val="0.58612221549229426"/>
          <c:h val="0.34705298556430447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59">
              <a:solidFill>
                <a:srgbClr val="FF00FF"/>
              </a:solidFill>
              <a:prstDash val="solid"/>
            </a:ln>
          </c:spPr>
          <c:invertIfNegative val="0"/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Sheet1!$A$1:$C$1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659">
              <a:solidFill>
                <a:srgbClr val="FFFF00"/>
              </a:solidFill>
              <a:prstDash val="solid"/>
            </a:ln>
          </c:spPr>
          <c:invertIfNegative val="0"/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Sheet1!$A$1:$C$1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ln w="12659">
              <a:solidFill>
                <a:srgbClr val="00FFFF"/>
              </a:solidFill>
              <a:prstDash val="solid"/>
            </a:ln>
          </c:spPr>
          <c:invertIfNegative val="0"/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Sheet1!$A$1:$C$1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6848384"/>
        <c:axId val="186850304"/>
      </c:barChart>
      <c:lineChart>
        <c:grouping val="standard"/>
        <c:varyColors val="0"/>
        <c:ser>
          <c:idx val="0"/>
          <c:order val="0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ln w="12659">
              <a:solidFill>
                <a:srgbClr val="00008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Sheet1!$A$1:$C$1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Sheet1!$A$2:$C$2</c:f>
              <c:numCache>
                <c:formatCode>General</c:formatCode>
                <c:ptCount val="3"/>
                <c:pt idx="0">
                  <c:v>0.96</c:v>
                </c:pt>
                <c:pt idx="1">
                  <c:v>0.96</c:v>
                </c:pt>
                <c:pt idx="2">
                  <c:v>1.48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6848384"/>
        <c:axId val="186850304"/>
      </c:lineChart>
      <c:catAx>
        <c:axId val="186848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54220779220779225"/>
              <c:y val="0.84552845528455289"/>
            </c:manualLayout>
          </c:layout>
          <c:overlay val="0"/>
          <c:spPr>
            <a:noFill/>
            <a:ln w="2531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6850304"/>
        <c:crosses val="autoZero"/>
        <c:auto val="1"/>
        <c:lblAlgn val="ctr"/>
        <c:lblOffset val="100"/>
        <c:noMultiLvlLbl val="0"/>
      </c:catAx>
      <c:valAx>
        <c:axId val="1868503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показатель на 10000 работающих</a:t>
                </a:r>
              </a:p>
            </c:rich>
          </c:tx>
          <c:layout>
            <c:manualLayout>
              <c:xMode val="edge"/>
              <c:yMode val="edge"/>
              <c:x val="1.7857142857142856E-2"/>
              <c:y val="0.21544715447154472"/>
            </c:manualLayout>
          </c:layout>
          <c:overlay val="0"/>
          <c:spPr>
            <a:noFill/>
            <a:ln w="2531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6848384"/>
        <c:crosses val="autoZero"/>
        <c:crossBetween val="between"/>
      </c:valAx>
      <c:spPr>
        <a:solidFill>
          <a:srgbClr val="C0C0C0"/>
        </a:solidFill>
        <a:ln w="12659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CE601-44CA-4133-A94B-A05A2472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2022-02-11T09:59:00Z</dcterms:created>
  <dcterms:modified xsi:type="dcterms:W3CDTF">2022-03-03T12:34:00Z</dcterms:modified>
</cp:coreProperties>
</file>