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E9" w:rsidRPr="000A635E" w:rsidRDefault="008B51E9" w:rsidP="008B51E9">
      <w:pPr>
        <w:tabs>
          <w:tab w:val="left" w:pos="1701"/>
        </w:tabs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bCs/>
          <w:sz w:val="26"/>
          <w:szCs w:val="26"/>
        </w:rPr>
        <w:t>Глава 1.2</w:t>
      </w:r>
      <w:r w:rsidRPr="000A635E">
        <w:rPr>
          <w:rFonts w:eastAsiaTheme="minorEastAsia"/>
          <w:b/>
          <w:sz w:val="26"/>
          <w:szCs w:val="26"/>
        </w:rPr>
        <w:t xml:space="preserve"> Анализ состояния заболеваемости массовыми неинфекционными заболеваниями (отравлениями) и приоритетными заболеваниями в связи с вредным воздействием факторов среды обитания населения</w:t>
      </w:r>
      <w:r>
        <w:rPr>
          <w:rFonts w:eastAsiaTheme="minorEastAsia"/>
          <w:b/>
          <w:sz w:val="26"/>
          <w:szCs w:val="26"/>
        </w:rPr>
        <w:t xml:space="preserve"> </w:t>
      </w:r>
      <w:r w:rsidRPr="000A635E">
        <w:rPr>
          <w:rFonts w:eastAsiaTheme="minorEastAsia"/>
          <w:b/>
          <w:sz w:val="26"/>
          <w:szCs w:val="26"/>
        </w:rPr>
        <w:t>г. Нефтеюганска</w:t>
      </w:r>
    </w:p>
    <w:p w:rsidR="008B51E9" w:rsidRPr="000A635E" w:rsidRDefault="008B51E9" w:rsidP="008B51E9">
      <w:pPr>
        <w:tabs>
          <w:tab w:val="left" w:pos="1701"/>
        </w:tabs>
        <w:jc w:val="center"/>
        <w:rPr>
          <w:rFonts w:eastAsiaTheme="minorEastAsia"/>
          <w:b/>
          <w:sz w:val="24"/>
          <w:szCs w:val="24"/>
        </w:rPr>
      </w:pPr>
    </w:p>
    <w:p w:rsidR="008B51E9" w:rsidRPr="000A635E" w:rsidRDefault="008B51E9" w:rsidP="008B51E9">
      <w:pPr>
        <w:spacing w:after="200"/>
        <w:jc w:val="center"/>
        <w:rPr>
          <w:rFonts w:eastAsiaTheme="minorEastAsia"/>
          <w:b/>
          <w:sz w:val="24"/>
          <w:szCs w:val="24"/>
        </w:rPr>
      </w:pPr>
      <w:r w:rsidRPr="000A635E">
        <w:rPr>
          <w:rFonts w:eastAsiaTheme="minorEastAsia"/>
          <w:b/>
          <w:bCs/>
          <w:sz w:val="24"/>
          <w:szCs w:val="24"/>
        </w:rPr>
        <w:t>Структура общей заболеваемости и ранговое место отдельных классов болезней</w:t>
      </w:r>
    </w:p>
    <w:p w:rsidR="008B51E9" w:rsidRPr="00F54D3C" w:rsidRDefault="008B51E9" w:rsidP="008B51E9">
      <w:p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 w:rsidRPr="00F54D3C">
        <w:rPr>
          <w:rFonts w:eastAsiaTheme="minorEastAsia"/>
          <w:sz w:val="24"/>
          <w:szCs w:val="24"/>
        </w:rPr>
        <w:t>В г. Нефтеюганске в структуре общей заболеваемости в 202</w:t>
      </w:r>
      <w:r>
        <w:rPr>
          <w:rFonts w:eastAsiaTheme="minorEastAsia"/>
          <w:sz w:val="24"/>
          <w:szCs w:val="24"/>
        </w:rPr>
        <w:t>1</w:t>
      </w:r>
      <w:r w:rsidRPr="00F54D3C">
        <w:rPr>
          <w:rFonts w:eastAsiaTheme="minorEastAsia"/>
          <w:sz w:val="24"/>
          <w:szCs w:val="24"/>
        </w:rPr>
        <w:t xml:space="preserve"> году ведущее место занимают болезни органов дыхания – </w:t>
      </w:r>
      <w:r>
        <w:rPr>
          <w:rFonts w:eastAsiaTheme="minorEastAsia"/>
          <w:sz w:val="24"/>
          <w:szCs w:val="24"/>
        </w:rPr>
        <w:t>41,5</w:t>
      </w:r>
      <w:r w:rsidRPr="00F54D3C">
        <w:rPr>
          <w:rFonts w:eastAsiaTheme="minorEastAsia"/>
          <w:sz w:val="24"/>
          <w:szCs w:val="24"/>
        </w:rPr>
        <w:t>% (в прошлом году 3</w:t>
      </w:r>
      <w:r>
        <w:rPr>
          <w:rFonts w:eastAsiaTheme="minorEastAsia"/>
          <w:sz w:val="24"/>
          <w:szCs w:val="24"/>
        </w:rPr>
        <w:t>8</w:t>
      </w:r>
      <w:r w:rsidRPr="00F54D3C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>5</w:t>
      </w:r>
      <w:r w:rsidRPr="00F54D3C">
        <w:rPr>
          <w:rFonts w:eastAsiaTheme="minorEastAsia"/>
          <w:sz w:val="24"/>
          <w:szCs w:val="24"/>
        </w:rPr>
        <w:t xml:space="preserve">%), болезни костно-мышечной системы </w:t>
      </w:r>
      <w:r>
        <w:rPr>
          <w:rFonts w:eastAsiaTheme="minorEastAsia"/>
          <w:sz w:val="24"/>
          <w:szCs w:val="24"/>
        </w:rPr>
        <w:t>9,7</w:t>
      </w:r>
      <w:r w:rsidRPr="00F54D3C">
        <w:rPr>
          <w:rFonts w:eastAsiaTheme="minorEastAsia"/>
          <w:sz w:val="24"/>
          <w:szCs w:val="24"/>
        </w:rPr>
        <w:t xml:space="preserve">% (в прошлом году </w:t>
      </w:r>
      <w:r>
        <w:rPr>
          <w:rFonts w:eastAsiaTheme="minorEastAsia"/>
          <w:sz w:val="24"/>
          <w:szCs w:val="24"/>
        </w:rPr>
        <w:t>10,6</w:t>
      </w:r>
      <w:r w:rsidRPr="00F54D3C">
        <w:rPr>
          <w:rFonts w:eastAsiaTheme="minorEastAsia"/>
          <w:sz w:val="24"/>
          <w:szCs w:val="24"/>
        </w:rPr>
        <w:t>%), болезни системы кровообращения – 8,</w:t>
      </w:r>
      <w:r>
        <w:rPr>
          <w:rFonts w:eastAsiaTheme="minorEastAsia"/>
          <w:sz w:val="24"/>
          <w:szCs w:val="24"/>
        </w:rPr>
        <w:t>0</w:t>
      </w:r>
      <w:r w:rsidRPr="00F54D3C">
        <w:rPr>
          <w:rFonts w:eastAsiaTheme="minorEastAsia"/>
          <w:sz w:val="24"/>
          <w:szCs w:val="24"/>
        </w:rPr>
        <w:t>% (в прошлом году 8,</w:t>
      </w:r>
      <w:r>
        <w:rPr>
          <w:rFonts w:eastAsiaTheme="minorEastAsia"/>
          <w:sz w:val="24"/>
          <w:szCs w:val="24"/>
        </w:rPr>
        <w:t>2</w:t>
      </w:r>
      <w:r w:rsidRPr="00F54D3C">
        <w:rPr>
          <w:rFonts w:eastAsiaTheme="minorEastAsia"/>
          <w:sz w:val="24"/>
          <w:szCs w:val="24"/>
        </w:rPr>
        <w:t>%)</w:t>
      </w:r>
    </w:p>
    <w:p w:rsidR="008B51E9" w:rsidRPr="000A635E" w:rsidRDefault="008B51E9" w:rsidP="008B51E9">
      <w:pPr>
        <w:jc w:val="both"/>
        <w:rPr>
          <w:rFonts w:eastAsiaTheme="minorEastAsia"/>
          <w:sz w:val="24"/>
          <w:szCs w:val="24"/>
        </w:rPr>
      </w:pPr>
    </w:p>
    <w:p w:rsidR="008B51E9" w:rsidRPr="00A962D8" w:rsidRDefault="008B51E9" w:rsidP="008B51E9">
      <w:pPr>
        <w:spacing w:after="200"/>
        <w:jc w:val="right"/>
        <w:outlineLvl w:val="0"/>
        <w:rPr>
          <w:rFonts w:eastAsiaTheme="minorEastAsia"/>
          <w:sz w:val="22"/>
          <w:szCs w:val="22"/>
        </w:rPr>
      </w:pPr>
      <w:r w:rsidRPr="00A962D8">
        <w:rPr>
          <w:rFonts w:eastAsiaTheme="minorEastAsia"/>
          <w:sz w:val="22"/>
          <w:szCs w:val="22"/>
        </w:rPr>
        <w:t xml:space="preserve">Таблица № </w:t>
      </w:r>
      <w:r w:rsidR="00487709">
        <w:rPr>
          <w:rFonts w:eastAsiaTheme="minorEastAsia"/>
          <w:sz w:val="22"/>
          <w:szCs w:val="22"/>
        </w:rPr>
        <w:t>25</w:t>
      </w:r>
    </w:p>
    <w:p w:rsidR="008B51E9" w:rsidRPr="000A635E" w:rsidRDefault="008B51E9" w:rsidP="008B51E9">
      <w:pPr>
        <w:jc w:val="center"/>
        <w:rPr>
          <w:rFonts w:eastAsiaTheme="minorEastAsia"/>
          <w:b/>
          <w:bCs/>
          <w:iCs/>
          <w:sz w:val="24"/>
          <w:szCs w:val="22"/>
        </w:rPr>
      </w:pPr>
      <w:r w:rsidRPr="000A635E">
        <w:rPr>
          <w:rFonts w:eastAsiaTheme="minorEastAsia"/>
          <w:b/>
          <w:sz w:val="24"/>
          <w:szCs w:val="22"/>
        </w:rPr>
        <w:t xml:space="preserve">Общая заболеваемость населения в г. Нефтеюганске </w:t>
      </w:r>
      <w:r w:rsidRPr="000A635E">
        <w:rPr>
          <w:rFonts w:eastAsiaTheme="minorEastAsia"/>
          <w:b/>
          <w:bCs/>
          <w:iCs/>
          <w:sz w:val="24"/>
          <w:szCs w:val="22"/>
        </w:rPr>
        <w:t xml:space="preserve">(на 1000 населения) </w:t>
      </w:r>
    </w:p>
    <w:p w:rsidR="008B51E9" w:rsidRPr="000A635E" w:rsidRDefault="008B51E9" w:rsidP="008B51E9">
      <w:pPr>
        <w:jc w:val="center"/>
        <w:rPr>
          <w:rFonts w:eastAsiaTheme="minorEastAsia"/>
          <w:b/>
          <w:sz w:val="24"/>
          <w:szCs w:val="22"/>
        </w:rPr>
      </w:pPr>
      <w:r w:rsidRPr="000A635E">
        <w:rPr>
          <w:rFonts w:eastAsiaTheme="minorEastAsia"/>
          <w:b/>
          <w:sz w:val="24"/>
          <w:szCs w:val="22"/>
        </w:rPr>
        <w:t>за 20</w:t>
      </w:r>
      <w:r>
        <w:rPr>
          <w:rFonts w:eastAsiaTheme="minorEastAsia"/>
          <w:b/>
          <w:sz w:val="24"/>
          <w:szCs w:val="22"/>
        </w:rPr>
        <w:t xml:space="preserve">21 </w:t>
      </w:r>
      <w:r w:rsidRPr="000A635E">
        <w:rPr>
          <w:rFonts w:eastAsiaTheme="minorEastAsia"/>
          <w:b/>
          <w:sz w:val="24"/>
          <w:szCs w:val="22"/>
        </w:rPr>
        <w:t>год</w:t>
      </w:r>
    </w:p>
    <w:p w:rsidR="008B51E9" w:rsidRPr="000A635E" w:rsidRDefault="008B51E9" w:rsidP="008B51E9">
      <w:pPr>
        <w:jc w:val="center"/>
        <w:rPr>
          <w:rFonts w:eastAsiaTheme="minorEastAsia"/>
          <w:b/>
          <w:sz w:val="22"/>
          <w:szCs w:val="22"/>
        </w:rPr>
      </w:pPr>
    </w:p>
    <w:tbl>
      <w:tblPr>
        <w:tblW w:w="9141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31"/>
        <w:gridCol w:w="1109"/>
        <w:gridCol w:w="1422"/>
        <w:gridCol w:w="1239"/>
      </w:tblGrid>
      <w:tr w:rsidR="008B51E9" w:rsidRPr="000A635E" w:rsidTr="009805C8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Классы болезней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Дети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Подростки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Взрослые</w:t>
            </w:r>
          </w:p>
        </w:tc>
      </w:tr>
      <w:tr w:rsidR="008B51E9" w:rsidRPr="00CF4914" w:rsidTr="009805C8">
        <w:trPr>
          <w:trHeight w:val="493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1705,8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3809,4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3230,1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1155,1</w:t>
            </w:r>
          </w:p>
        </w:tc>
      </w:tr>
      <w:tr w:rsidR="008B51E9" w:rsidRPr="00CF4914" w:rsidTr="009805C8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Инфекционные болезни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69,1</w:t>
            </w:r>
          </w:p>
        </w:tc>
      </w:tr>
      <w:tr w:rsidR="008B51E9" w:rsidRPr="00CF4914" w:rsidTr="009805C8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Новообразования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47,6</w:t>
            </w:r>
          </w:p>
        </w:tc>
      </w:tr>
      <w:tr w:rsidR="008B51E9" w:rsidRPr="00CF4914" w:rsidTr="009805C8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крови и кроветворных органов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6,4</w:t>
            </w:r>
          </w:p>
        </w:tc>
      </w:tr>
      <w:tr w:rsidR="008B51E9" w:rsidRPr="00CF4914" w:rsidTr="009805C8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90,2</w:t>
            </w:r>
          </w:p>
        </w:tc>
      </w:tr>
      <w:tr w:rsidR="008B51E9" w:rsidRPr="00CF4914" w:rsidTr="009805C8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15,5</w:t>
            </w:r>
          </w:p>
        </w:tc>
      </w:tr>
      <w:tr w:rsidR="008B51E9" w:rsidRPr="00CF4914" w:rsidTr="009805C8">
        <w:trPr>
          <w:trHeight w:val="43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25,2</w:t>
            </w:r>
          </w:p>
        </w:tc>
      </w:tr>
      <w:tr w:rsidR="008B51E9" w:rsidRPr="00CF4914" w:rsidTr="009805C8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51,4</w:t>
            </w:r>
          </w:p>
        </w:tc>
      </w:tr>
      <w:tr w:rsidR="008B51E9" w:rsidRPr="00CF4914" w:rsidTr="009805C8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18,6</w:t>
            </w:r>
          </w:p>
        </w:tc>
      </w:tr>
      <w:tr w:rsidR="008B51E9" w:rsidRPr="00CF4914" w:rsidTr="009805C8">
        <w:trPr>
          <w:trHeight w:val="33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171,2</w:t>
            </w:r>
          </w:p>
        </w:tc>
      </w:tr>
      <w:tr w:rsidR="008B51E9" w:rsidRPr="00CF4914" w:rsidTr="009805C8">
        <w:trPr>
          <w:trHeight w:val="33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707,8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211,3</w:t>
            </w:r>
          </w:p>
        </w:tc>
      </w:tr>
      <w:tr w:rsidR="008B51E9" w:rsidRPr="00CF4914" w:rsidTr="009805C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68,2</w:t>
            </w:r>
          </w:p>
        </w:tc>
      </w:tr>
      <w:tr w:rsidR="008B51E9" w:rsidRPr="00CF4914" w:rsidTr="009805C8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37,5</w:t>
            </w:r>
          </w:p>
        </w:tc>
      </w:tr>
      <w:tr w:rsidR="008B51E9" w:rsidRPr="00CF4914" w:rsidTr="009805C8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187,5</w:t>
            </w:r>
          </w:p>
        </w:tc>
      </w:tr>
      <w:tr w:rsidR="008B51E9" w:rsidRPr="00CF4914" w:rsidTr="009805C8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93,0</w:t>
            </w:r>
          </w:p>
        </w:tc>
      </w:tr>
      <w:tr w:rsidR="008B51E9" w:rsidRPr="00CF4914" w:rsidTr="009805C8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Беременность, роды и послеродовый период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13,7</w:t>
            </w:r>
          </w:p>
        </w:tc>
      </w:tr>
      <w:tr w:rsidR="008B51E9" w:rsidRPr="00CF4914" w:rsidTr="009805C8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Отдельные состояния, возникающие в перинатальном периоде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8B51E9" w:rsidRPr="00CF4914" w:rsidTr="009805C8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Врожденные аномалии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8B51E9" w:rsidRPr="00CF4914" w:rsidTr="009805C8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Симптомы, признаки и отклонения от нормы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8B51E9" w:rsidRPr="00CF4914" w:rsidTr="009805C8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754DDD" w:rsidRDefault="008B51E9" w:rsidP="009805C8">
            <w:pPr>
              <w:spacing w:before="20" w:after="20"/>
              <w:jc w:val="center"/>
              <w:rPr>
                <w:rFonts w:eastAsiaTheme="minorEastAsia"/>
                <w:sz w:val="24"/>
                <w:szCs w:val="24"/>
              </w:rPr>
            </w:pPr>
            <w:r w:rsidRPr="00754DDD">
              <w:rPr>
                <w:rFonts w:eastAsiaTheme="minorEastAsia"/>
                <w:sz w:val="24"/>
                <w:szCs w:val="24"/>
              </w:rPr>
              <w:t>Травмы и отравления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1E9" w:rsidRDefault="008B51E9" w:rsidP="009805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47,8</w:t>
            </w:r>
          </w:p>
        </w:tc>
      </w:tr>
    </w:tbl>
    <w:p w:rsidR="008B51E9" w:rsidRDefault="008B51E9" w:rsidP="008B51E9">
      <w:pPr>
        <w:pStyle w:val="26"/>
        <w:shd w:val="clear" w:color="auto" w:fill="auto"/>
        <w:spacing w:before="0" w:after="111" w:line="240" w:lineRule="auto"/>
        <w:jc w:val="both"/>
        <w:rPr>
          <w:color w:val="000000" w:themeColor="text1"/>
          <w:sz w:val="24"/>
          <w:szCs w:val="24"/>
        </w:rPr>
      </w:pPr>
    </w:p>
    <w:p w:rsidR="008B51E9" w:rsidRDefault="008B51E9" w:rsidP="008B51E9">
      <w:pPr>
        <w:pStyle w:val="26"/>
        <w:shd w:val="clear" w:color="auto" w:fill="auto"/>
        <w:spacing w:before="0" w:after="111" w:line="240" w:lineRule="auto"/>
        <w:jc w:val="both"/>
        <w:rPr>
          <w:color w:val="000000" w:themeColor="text1"/>
          <w:sz w:val="24"/>
          <w:szCs w:val="24"/>
        </w:rPr>
      </w:pPr>
    </w:p>
    <w:p w:rsidR="008B51E9" w:rsidRDefault="008B51E9" w:rsidP="008B51E9">
      <w:pPr>
        <w:pStyle w:val="26"/>
        <w:shd w:val="clear" w:color="auto" w:fill="auto"/>
        <w:spacing w:before="0" w:after="111" w:line="24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ab/>
      </w:r>
      <w:r w:rsidRPr="00ED7164">
        <w:rPr>
          <w:color w:val="000000" w:themeColor="text1"/>
          <w:sz w:val="24"/>
          <w:szCs w:val="24"/>
        </w:rPr>
        <w:t>В 202</w:t>
      </w:r>
      <w:r>
        <w:rPr>
          <w:color w:val="000000" w:themeColor="text1"/>
          <w:sz w:val="24"/>
          <w:szCs w:val="24"/>
        </w:rPr>
        <w:t>1</w:t>
      </w:r>
      <w:r w:rsidRPr="00ED7164">
        <w:rPr>
          <w:color w:val="000000" w:themeColor="text1"/>
          <w:sz w:val="24"/>
          <w:szCs w:val="24"/>
        </w:rPr>
        <w:t xml:space="preserve"> году отмечается </w:t>
      </w:r>
      <w:r>
        <w:rPr>
          <w:color w:val="000000" w:themeColor="text1"/>
          <w:sz w:val="24"/>
          <w:szCs w:val="24"/>
        </w:rPr>
        <w:t>увеличение</w:t>
      </w:r>
      <w:r w:rsidRPr="00ED7164">
        <w:rPr>
          <w:color w:val="000000" w:themeColor="text1"/>
          <w:sz w:val="24"/>
          <w:szCs w:val="24"/>
        </w:rPr>
        <w:t xml:space="preserve"> общей заболеваемости населения </w:t>
      </w:r>
      <w:proofErr w:type="spellStart"/>
      <w:r w:rsidRPr="00ED7164">
        <w:rPr>
          <w:color w:val="000000" w:themeColor="text1"/>
          <w:sz w:val="24"/>
          <w:szCs w:val="24"/>
        </w:rPr>
        <w:t>г</w:t>
      </w:r>
      <w:proofErr w:type="gramStart"/>
      <w:r w:rsidRPr="00ED7164">
        <w:rPr>
          <w:color w:val="000000" w:themeColor="text1"/>
          <w:sz w:val="24"/>
          <w:szCs w:val="24"/>
        </w:rPr>
        <w:t>.Н</w:t>
      </w:r>
      <w:proofErr w:type="gramEnd"/>
      <w:r w:rsidRPr="00ED7164">
        <w:rPr>
          <w:color w:val="000000" w:themeColor="text1"/>
          <w:sz w:val="24"/>
          <w:szCs w:val="24"/>
        </w:rPr>
        <w:t>ефтеюганска</w:t>
      </w:r>
      <w:proofErr w:type="spellEnd"/>
      <w:r w:rsidRPr="00ED7164">
        <w:rPr>
          <w:color w:val="000000" w:themeColor="text1"/>
          <w:sz w:val="24"/>
          <w:szCs w:val="24"/>
        </w:rPr>
        <w:t xml:space="preserve">, по сравнению с прошлым годом, на </w:t>
      </w:r>
      <w:r>
        <w:rPr>
          <w:color w:val="000000" w:themeColor="text1"/>
          <w:sz w:val="24"/>
          <w:szCs w:val="24"/>
        </w:rPr>
        <w:t>15,1</w:t>
      </w:r>
      <w:r w:rsidRPr="00ED7164">
        <w:rPr>
          <w:color w:val="000000" w:themeColor="text1"/>
          <w:sz w:val="24"/>
          <w:szCs w:val="24"/>
        </w:rPr>
        <w:t xml:space="preserve">%. </w:t>
      </w:r>
    </w:p>
    <w:p w:rsidR="008B51E9" w:rsidRPr="000A635E" w:rsidRDefault="008B51E9" w:rsidP="008B51E9">
      <w:pPr>
        <w:spacing w:after="200"/>
        <w:jc w:val="center"/>
        <w:rPr>
          <w:rFonts w:eastAsiaTheme="minorEastAsia"/>
          <w:sz w:val="28"/>
          <w:szCs w:val="22"/>
        </w:rPr>
      </w:pPr>
      <w:r>
        <w:rPr>
          <w:noProof/>
        </w:rPr>
        <w:drawing>
          <wp:inline distT="0" distB="0" distL="0" distR="0" wp14:anchorId="1B53B2EF" wp14:editId="75042FE8">
            <wp:extent cx="6030595" cy="3648710"/>
            <wp:effectExtent l="0" t="0" r="0" b="0"/>
            <wp:docPr id="2" name="Диаграмма 2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51E9" w:rsidRPr="00A962D8" w:rsidRDefault="008B51E9" w:rsidP="008B51E9">
      <w:pPr>
        <w:jc w:val="center"/>
        <w:rPr>
          <w:rFonts w:eastAsiaTheme="minorEastAsia"/>
          <w:sz w:val="22"/>
          <w:szCs w:val="21"/>
        </w:rPr>
      </w:pPr>
      <w:r w:rsidRPr="00A962D8">
        <w:rPr>
          <w:rFonts w:eastAsiaTheme="minorEastAsia"/>
          <w:sz w:val="22"/>
          <w:szCs w:val="21"/>
        </w:rPr>
        <w:t>Гистограмма № 5 «Динамика общей заболеваемости по приоритетным классам болезней в г. Нефтеюганске за 201</w:t>
      </w:r>
      <w:r>
        <w:rPr>
          <w:rFonts w:eastAsiaTheme="minorEastAsia"/>
          <w:sz w:val="22"/>
          <w:szCs w:val="21"/>
        </w:rPr>
        <w:t>9</w:t>
      </w:r>
      <w:r w:rsidRPr="00A962D8">
        <w:rPr>
          <w:rFonts w:eastAsiaTheme="minorEastAsia"/>
          <w:sz w:val="22"/>
          <w:szCs w:val="21"/>
        </w:rPr>
        <w:t xml:space="preserve"> – 202</w:t>
      </w:r>
      <w:r>
        <w:rPr>
          <w:rFonts w:eastAsiaTheme="minorEastAsia"/>
          <w:sz w:val="22"/>
          <w:szCs w:val="21"/>
        </w:rPr>
        <w:t>1</w:t>
      </w:r>
      <w:r w:rsidRPr="00A962D8">
        <w:rPr>
          <w:rFonts w:eastAsiaTheme="minorEastAsia"/>
          <w:sz w:val="22"/>
          <w:szCs w:val="21"/>
        </w:rPr>
        <w:t xml:space="preserve"> гг.»</w:t>
      </w:r>
    </w:p>
    <w:p w:rsidR="008B51E9" w:rsidRPr="00C4391C" w:rsidRDefault="008B51E9" w:rsidP="008B51E9">
      <w:pPr>
        <w:jc w:val="center"/>
        <w:rPr>
          <w:rFonts w:eastAsiaTheme="minorEastAsia"/>
          <w:b/>
          <w:sz w:val="22"/>
          <w:szCs w:val="22"/>
        </w:rPr>
      </w:pPr>
    </w:p>
    <w:p w:rsidR="008B51E9" w:rsidRDefault="008B51E9" w:rsidP="008B51E9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 w:rsidRPr="00ED7164">
        <w:rPr>
          <w:color w:val="000000" w:themeColor="text1"/>
          <w:sz w:val="24"/>
          <w:szCs w:val="24"/>
        </w:rPr>
        <w:t xml:space="preserve">В структуре возрастных групп, самый высокий уровень общей заболеваемости в г. Нефтеюганске регистрируется, по-прежнему, у детей от 0 до 14 лет. По сравнению с прошлым годом, в этой возрастной группе отмечается повышение заболеваемости на </w:t>
      </w:r>
      <w:r>
        <w:rPr>
          <w:color w:val="000000" w:themeColor="text1"/>
          <w:sz w:val="24"/>
          <w:szCs w:val="24"/>
        </w:rPr>
        <w:t>37,3</w:t>
      </w:r>
      <w:r w:rsidRPr="00ED7164">
        <w:rPr>
          <w:color w:val="000000" w:themeColor="text1"/>
          <w:sz w:val="24"/>
          <w:szCs w:val="24"/>
        </w:rPr>
        <w:t>%. Среди подростков 15-17 лет заболеваемость увеличилась, относительно 20</w:t>
      </w:r>
      <w:r>
        <w:rPr>
          <w:color w:val="000000" w:themeColor="text1"/>
          <w:sz w:val="24"/>
          <w:szCs w:val="24"/>
        </w:rPr>
        <w:t>20</w:t>
      </w:r>
      <w:r w:rsidRPr="00ED7164">
        <w:rPr>
          <w:color w:val="000000" w:themeColor="text1"/>
          <w:sz w:val="24"/>
          <w:szCs w:val="24"/>
        </w:rPr>
        <w:t xml:space="preserve"> года, на </w:t>
      </w:r>
      <w:r>
        <w:rPr>
          <w:color w:val="000000" w:themeColor="text1"/>
          <w:sz w:val="24"/>
          <w:szCs w:val="24"/>
        </w:rPr>
        <w:t>37</w:t>
      </w:r>
      <w:r w:rsidRPr="00ED7164">
        <w:rPr>
          <w:color w:val="000000" w:themeColor="text1"/>
          <w:sz w:val="24"/>
          <w:szCs w:val="24"/>
        </w:rPr>
        <w:t xml:space="preserve">%. У взрослых от 18 лет и старше отмечается </w:t>
      </w:r>
      <w:r>
        <w:rPr>
          <w:color w:val="000000" w:themeColor="text1"/>
          <w:sz w:val="24"/>
          <w:szCs w:val="24"/>
        </w:rPr>
        <w:t>рост</w:t>
      </w:r>
      <w:r w:rsidRPr="00ED7164">
        <w:rPr>
          <w:color w:val="000000" w:themeColor="text1"/>
          <w:sz w:val="24"/>
          <w:szCs w:val="24"/>
        </w:rPr>
        <w:t xml:space="preserve"> заболеваемости на </w:t>
      </w:r>
      <w:r>
        <w:rPr>
          <w:color w:val="000000" w:themeColor="text1"/>
          <w:sz w:val="24"/>
          <w:szCs w:val="24"/>
        </w:rPr>
        <w:t>1,4</w:t>
      </w:r>
      <w:r w:rsidRPr="00ED7164">
        <w:rPr>
          <w:color w:val="000000" w:themeColor="text1"/>
          <w:sz w:val="24"/>
          <w:szCs w:val="24"/>
        </w:rPr>
        <w:t xml:space="preserve"> %.</w:t>
      </w:r>
    </w:p>
    <w:p w:rsidR="008B51E9" w:rsidRPr="000A635E" w:rsidRDefault="008B51E9" w:rsidP="008B51E9">
      <w:pPr>
        <w:jc w:val="both"/>
        <w:rPr>
          <w:rFonts w:eastAsiaTheme="minorEastAsia"/>
          <w:sz w:val="24"/>
          <w:szCs w:val="24"/>
        </w:rPr>
      </w:pPr>
    </w:p>
    <w:p w:rsidR="008B51E9" w:rsidRDefault="008B51E9" w:rsidP="008B51E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Таблица № </w:t>
      </w:r>
      <w:r w:rsidR="00487709">
        <w:rPr>
          <w:rFonts w:eastAsiaTheme="minorEastAsia"/>
          <w:sz w:val="22"/>
          <w:szCs w:val="22"/>
        </w:rPr>
        <w:t>26</w:t>
      </w:r>
    </w:p>
    <w:p w:rsidR="008B51E9" w:rsidRPr="000A635E" w:rsidRDefault="008B51E9" w:rsidP="008B51E9">
      <w:pPr>
        <w:jc w:val="right"/>
        <w:rPr>
          <w:rFonts w:eastAsiaTheme="minorEastAsia"/>
          <w:sz w:val="22"/>
          <w:szCs w:val="22"/>
        </w:rPr>
      </w:pPr>
    </w:p>
    <w:p w:rsidR="008B51E9" w:rsidRPr="000A635E" w:rsidRDefault="008B51E9" w:rsidP="008B51E9">
      <w:pPr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 xml:space="preserve">Показатели общей заболеваемости по возрастным группам  </w:t>
      </w:r>
    </w:p>
    <w:p w:rsidR="008B51E9" w:rsidRDefault="008B51E9" w:rsidP="008B51E9">
      <w:pPr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>в г. Нефтеюганске за 201</w:t>
      </w:r>
      <w:r>
        <w:rPr>
          <w:rFonts w:eastAsiaTheme="minorEastAsia"/>
          <w:b/>
          <w:sz w:val="22"/>
          <w:szCs w:val="22"/>
        </w:rPr>
        <w:t>9 – 2021</w:t>
      </w:r>
      <w:r w:rsidRPr="000A635E">
        <w:rPr>
          <w:rFonts w:eastAsiaTheme="minorEastAsia"/>
          <w:b/>
          <w:sz w:val="22"/>
          <w:szCs w:val="22"/>
        </w:rPr>
        <w:t xml:space="preserve"> гг.</w:t>
      </w:r>
    </w:p>
    <w:p w:rsidR="008B51E9" w:rsidRPr="000A635E" w:rsidRDefault="008B51E9" w:rsidP="008B51E9">
      <w:pPr>
        <w:jc w:val="center"/>
        <w:rPr>
          <w:rFonts w:eastAsiaTheme="minorEastAsia"/>
          <w:b/>
          <w:sz w:val="22"/>
          <w:szCs w:val="22"/>
        </w:rPr>
      </w:pPr>
    </w:p>
    <w:tbl>
      <w:tblPr>
        <w:tblW w:w="7797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1843"/>
        <w:gridCol w:w="1701"/>
        <w:gridCol w:w="1701"/>
      </w:tblGrid>
      <w:tr w:rsidR="008B51E9" w:rsidRPr="000A635E" w:rsidTr="009805C8">
        <w:trPr>
          <w:trHeight w:val="48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1E9" w:rsidRPr="00A962D8" w:rsidRDefault="008B51E9" w:rsidP="009805C8">
            <w:pPr>
              <w:jc w:val="center"/>
              <w:rPr>
                <w:color w:val="000000"/>
                <w:sz w:val="22"/>
                <w:szCs w:val="22"/>
              </w:rPr>
            </w:pPr>
            <w:r w:rsidRPr="00A962D8">
              <w:rPr>
                <w:color w:val="000000"/>
                <w:sz w:val="22"/>
                <w:szCs w:val="22"/>
              </w:rPr>
              <w:t>Возрастная группа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2019г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2020г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2021г</w:t>
            </w:r>
          </w:p>
        </w:tc>
      </w:tr>
      <w:tr w:rsidR="008B51E9" w:rsidRPr="000A635E" w:rsidTr="009805C8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A962D8" w:rsidRDefault="008B51E9" w:rsidP="009805C8">
            <w:pPr>
              <w:jc w:val="center"/>
              <w:rPr>
                <w:color w:val="000000"/>
                <w:sz w:val="22"/>
                <w:szCs w:val="22"/>
              </w:rPr>
            </w:pPr>
            <w:r w:rsidRPr="00A962D8">
              <w:rPr>
                <w:color w:val="000000"/>
                <w:sz w:val="22"/>
                <w:szCs w:val="22"/>
              </w:rPr>
              <w:t>Дети 0-14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2"/>
              </w:rPr>
            </w:pPr>
            <w:r w:rsidRPr="00861821">
              <w:rPr>
                <w:color w:val="000000"/>
                <w:sz w:val="22"/>
                <w:szCs w:val="22"/>
              </w:rPr>
              <w:t>2568,5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2774,6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3809,4</w:t>
            </w:r>
          </w:p>
        </w:tc>
      </w:tr>
      <w:tr w:rsidR="008B51E9" w:rsidRPr="000A635E" w:rsidTr="009805C8">
        <w:trPr>
          <w:trHeight w:val="27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A962D8" w:rsidRDefault="008B51E9" w:rsidP="009805C8">
            <w:pPr>
              <w:jc w:val="center"/>
              <w:rPr>
                <w:color w:val="000000"/>
                <w:sz w:val="22"/>
                <w:szCs w:val="22"/>
              </w:rPr>
            </w:pPr>
            <w:r w:rsidRPr="00A962D8">
              <w:rPr>
                <w:color w:val="000000"/>
                <w:sz w:val="22"/>
                <w:szCs w:val="22"/>
              </w:rPr>
              <w:t>Подростки 15-17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2"/>
              </w:rPr>
            </w:pPr>
            <w:r w:rsidRPr="00861821">
              <w:rPr>
                <w:color w:val="000000"/>
                <w:sz w:val="22"/>
                <w:szCs w:val="22"/>
              </w:rPr>
              <w:t>1422,6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2358,4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3230,1</w:t>
            </w:r>
          </w:p>
        </w:tc>
      </w:tr>
      <w:tr w:rsidR="008B51E9" w:rsidRPr="000A635E" w:rsidTr="009805C8">
        <w:trPr>
          <w:trHeight w:val="27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A962D8" w:rsidRDefault="008B51E9" w:rsidP="009805C8">
            <w:pPr>
              <w:jc w:val="center"/>
              <w:rPr>
                <w:color w:val="000000"/>
                <w:sz w:val="22"/>
                <w:szCs w:val="22"/>
              </w:rPr>
            </w:pPr>
            <w:r w:rsidRPr="00A962D8">
              <w:rPr>
                <w:color w:val="000000"/>
                <w:sz w:val="22"/>
                <w:szCs w:val="22"/>
              </w:rPr>
              <w:t>Взрослые 18 лет и старше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2"/>
              </w:rPr>
            </w:pPr>
            <w:r w:rsidRPr="00861821">
              <w:rPr>
                <w:color w:val="000000"/>
                <w:sz w:val="22"/>
                <w:szCs w:val="22"/>
              </w:rPr>
              <w:t>1286,5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1139,1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E9" w:rsidRPr="00861821" w:rsidRDefault="008B51E9" w:rsidP="009805C8">
            <w:pPr>
              <w:jc w:val="center"/>
              <w:rPr>
                <w:color w:val="000000"/>
                <w:sz w:val="22"/>
                <w:szCs w:val="21"/>
              </w:rPr>
            </w:pPr>
            <w:r w:rsidRPr="00861821">
              <w:rPr>
                <w:color w:val="000000"/>
                <w:sz w:val="22"/>
                <w:szCs w:val="21"/>
              </w:rPr>
              <w:t>1155,1</w:t>
            </w:r>
          </w:p>
        </w:tc>
      </w:tr>
    </w:tbl>
    <w:p w:rsidR="008B51E9" w:rsidRDefault="008B51E9" w:rsidP="008B51E9">
      <w:pPr>
        <w:tabs>
          <w:tab w:val="left" w:pos="4111"/>
        </w:tabs>
        <w:spacing w:after="200"/>
        <w:jc w:val="center"/>
        <w:rPr>
          <w:rFonts w:eastAsiaTheme="minorEastAsia"/>
          <w:sz w:val="22"/>
          <w:szCs w:val="22"/>
        </w:rPr>
      </w:pPr>
    </w:p>
    <w:p w:rsidR="008B51E9" w:rsidRPr="000A635E" w:rsidRDefault="008B51E9" w:rsidP="008B51E9">
      <w:pPr>
        <w:tabs>
          <w:tab w:val="left" w:pos="4111"/>
        </w:tabs>
        <w:spacing w:after="200"/>
        <w:jc w:val="center"/>
        <w:rPr>
          <w:rFonts w:eastAsiaTheme="minorEastAsia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4D79AA09" wp14:editId="4F7CF8C8">
            <wp:extent cx="6030595" cy="3148641"/>
            <wp:effectExtent l="0" t="0" r="0" b="0"/>
            <wp:docPr id="3" name="Диаграмма 3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B51E9" w:rsidRDefault="008B51E9" w:rsidP="008B51E9">
      <w:pPr>
        <w:jc w:val="center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График</w:t>
      </w:r>
      <w:r w:rsidRPr="000A635E">
        <w:rPr>
          <w:rFonts w:eastAsiaTheme="minorEastAsia"/>
          <w:sz w:val="21"/>
          <w:szCs w:val="21"/>
        </w:rPr>
        <w:t xml:space="preserve"> №6 «Динамика показателей заболеваемости по возрастным группам за период с 201</w:t>
      </w:r>
      <w:r>
        <w:rPr>
          <w:rFonts w:eastAsiaTheme="minorEastAsia"/>
          <w:sz w:val="21"/>
          <w:szCs w:val="21"/>
        </w:rPr>
        <w:t>9 по 2021</w:t>
      </w:r>
      <w:r w:rsidRPr="000A635E">
        <w:rPr>
          <w:rFonts w:eastAsiaTheme="minorEastAsia"/>
          <w:sz w:val="21"/>
          <w:szCs w:val="21"/>
        </w:rPr>
        <w:t xml:space="preserve"> гг.»</w:t>
      </w:r>
    </w:p>
    <w:p w:rsidR="008B51E9" w:rsidRDefault="008B51E9" w:rsidP="008B51E9">
      <w:pPr>
        <w:jc w:val="center"/>
        <w:rPr>
          <w:rFonts w:eastAsiaTheme="minorEastAsia"/>
          <w:sz w:val="21"/>
          <w:szCs w:val="21"/>
        </w:rPr>
      </w:pPr>
      <w:r>
        <w:rPr>
          <w:noProof/>
        </w:rPr>
        <w:drawing>
          <wp:inline distT="0" distB="0" distL="0" distR="0" wp14:anchorId="0860DE83" wp14:editId="0744F081">
            <wp:extent cx="6030595" cy="4106173"/>
            <wp:effectExtent l="0" t="0" r="0" b="0"/>
            <wp:docPr id="4" name="Диаграмма 4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B51E9" w:rsidRPr="000A635E" w:rsidRDefault="008B51E9" w:rsidP="008B51E9">
      <w:pPr>
        <w:jc w:val="center"/>
        <w:rPr>
          <w:rFonts w:eastAsiaTheme="minorEastAsia"/>
          <w:sz w:val="21"/>
          <w:szCs w:val="21"/>
        </w:rPr>
      </w:pPr>
    </w:p>
    <w:p w:rsidR="008B51E9" w:rsidRPr="000A635E" w:rsidRDefault="008B51E9" w:rsidP="008B51E9">
      <w:pPr>
        <w:tabs>
          <w:tab w:val="left" w:pos="2552"/>
        </w:tabs>
        <w:rPr>
          <w:rFonts w:eastAsiaTheme="minorEastAsia"/>
          <w:sz w:val="21"/>
          <w:szCs w:val="21"/>
        </w:rPr>
      </w:pPr>
    </w:p>
    <w:p w:rsidR="008B51E9" w:rsidRPr="000A635E" w:rsidRDefault="008B51E9" w:rsidP="008B51E9">
      <w:pPr>
        <w:spacing w:after="200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График № 7</w:t>
      </w:r>
      <w:r w:rsidRPr="000A635E">
        <w:rPr>
          <w:rFonts w:eastAsiaTheme="minorEastAsia"/>
          <w:sz w:val="21"/>
          <w:szCs w:val="21"/>
        </w:rPr>
        <w:t xml:space="preserve"> «Структура общей заболеваемости по нозологическим группам (все население) за 20</w:t>
      </w:r>
      <w:r>
        <w:rPr>
          <w:rFonts w:eastAsiaTheme="minorEastAsia"/>
          <w:sz w:val="21"/>
          <w:szCs w:val="21"/>
        </w:rPr>
        <w:t>21</w:t>
      </w:r>
      <w:r w:rsidRPr="000A635E">
        <w:rPr>
          <w:rFonts w:eastAsiaTheme="minorEastAsia"/>
          <w:sz w:val="21"/>
          <w:szCs w:val="21"/>
        </w:rPr>
        <w:t>г.</w:t>
      </w:r>
    </w:p>
    <w:p w:rsidR="008B51E9" w:rsidRDefault="008B51E9" w:rsidP="008B51E9">
      <w:pPr>
        <w:spacing w:after="20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 w:rsidRPr="000A635E">
        <w:rPr>
          <w:rFonts w:eastAsiaTheme="minorEastAsia"/>
          <w:sz w:val="24"/>
          <w:szCs w:val="24"/>
        </w:rPr>
        <w:t xml:space="preserve">В структуре общей заболеваемости всего населения в </w:t>
      </w:r>
      <w:proofErr w:type="spellStart"/>
      <w:r w:rsidRPr="000A635E">
        <w:rPr>
          <w:rFonts w:eastAsiaTheme="minorEastAsia"/>
          <w:sz w:val="24"/>
          <w:szCs w:val="24"/>
        </w:rPr>
        <w:t>г</w:t>
      </w:r>
      <w:proofErr w:type="gramStart"/>
      <w:r w:rsidRPr="000A635E">
        <w:rPr>
          <w:rFonts w:eastAsiaTheme="minorEastAsia"/>
          <w:sz w:val="24"/>
          <w:szCs w:val="24"/>
        </w:rPr>
        <w:t>.Н</w:t>
      </w:r>
      <w:proofErr w:type="gramEnd"/>
      <w:r w:rsidRPr="000A635E">
        <w:rPr>
          <w:rFonts w:eastAsiaTheme="minorEastAsia"/>
          <w:sz w:val="24"/>
          <w:szCs w:val="24"/>
        </w:rPr>
        <w:t>ефтеюганске</w:t>
      </w:r>
      <w:proofErr w:type="spellEnd"/>
      <w:r w:rsidRPr="000A635E">
        <w:rPr>
          <w:rFonts w:eastAsiaTheme="minorEastAsia"/>
          <w:sz w:val="24"/>
          <w:szCs w:val="24"/>
        </w:rPr>
        <w:t xml:space="preserve"> первое место занимают болезни органов дыхания (</w:t>
      </w:r>
      <w:r>
        <w:rPr>
          <w:rFonts w:eastAsiaTheme="minorEastAsia"/>
          <w:sz w:val="24"/>
          <w:szCs w:val="24"/>
        </w:rPr>
        <w:t>41,5</w:t>
      </w:r>
      <w:r w:rsidRPr="00587498">
        <w:rPr>
          <w:rFonts w:eastAsiaTheme="minorEastAsia"/>
          <w:sz w:val="24"/>
          <w:szCs w:val="24"/>
        </w:rPr>
        <w:t>%</w:t>
      </w:r>
      <w:r w:rsidRPr="000A635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-</w:t>
      </w:r>
      <w:r w:rsidRPr="000A635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707,8</w:t>
      </w:r>
      <w:r w:rsidRPr="000A635E">
        <w:rPr>
          <w:rFonts w:eastAsiaTheme="minorEastAsia"/>
          <w:sz w:val="24"/>
          <w:szCs w:val="24"/>
        </w:rPr>
        <w:t xml:space="preserve"> случа</w:t>
      </w:r>
      <w:r>
        <w:rPr>
          <w:rFonts w:eastAsiaTheme="minorEastAsia"/>
          <w:sz w:val="24"/>
          <w:szCs w:val="24"/>
        </w:rPr>
        <w:t>ев</w:t>
      </w:r>
      <w:r w:rsidRPr="000A635E">
        <w:rPr>
          <w:rFonts w:eastAsiaTheme="minorEastAsia"/>
          <w:sz w:val="24"/>
          <w:szCs w:val="24"/>
        </w:rPr>
        <w:t xml:space="preserve"> на 1000 населения); далее – болезни костно-мышечной системы (</w:t>
      </w:r>
      <w:r>
        <w:rPr>
          <w:rFonts w:eastAsiaTheme="minorEastAsia"/>
          <w:sz w:val="24"/>
          <w:szCs w:val="24"/>
        </w:rPr>
        <w:t xml:space="preserve">9,7 </w:t>
      </w:r>
      <w:r w:rsidRPr="00587498">
        <w:rPr>
          <w:rFonts w:eastAsiaTheme="minorEastAsia"/>
          <w:sz w:val="24"/>
          <w:szCs w:val="24"/>
        </w:rPr>
        <w:t>%</w:t>
      </w:r>
      <w:r w:rsidRPr="000A635E">
        <w:rPr>
          <w:rFonts w:eastAsiaTheme="minorEastAsia"/>
          <w:sz w:val="24"/>
          <w:szCs w:val="24"/>
        </w:rPr>
        <w:t xml:space="preserve"> - </w:t>
      </w:r>
      <w:r>
        <w:rPr>
          <w:rFonts w:eastAsiaTheme="minorEastAsia"/>
          <w:sz w:val="24"/>
          <w:szCs w:val="24"/>
        </w:rPr>
        <w:t>165,5</w:t>
      </w:r>
      <w:r w:rsidRPr="000A635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случаев</w:t>
      </w:r>
      <w:r w:rsidRPr="000A635E">
        <w:rPr>
          <w:rFonts w:eastAsiaTheme="minorEastAsia"/>
          <w:sz w:val="24"/>
          <w:szCs w:val="24"/>
        </w:rPr>
        <w:t xml:space="preserve"> на 1000 населения), болезни органов кровообращения (</w:t>
      </w:r>
      <w:r w:rsidRPr="00587498">
        <w:rPr>
          <w:rFonts w:eastAsiaTheme="minorEastAsia"/>
          <w:sz w:val="24"/>
          <w:szCs w:val="24"/>
        </w:rPr>
        <w:t>8,</w:t>
      </w:r>
      <w:r>
        <w:rPr>
          <w:rFonts w:eastAsiaTheme="minorEastAsia"/>
          <w:sz w:val="24"/>
          <w:szCs w:val="24"/>
        </w:rPr>
        <w:t>0</w:t>
      </w:r>
      <w:r w:rsidRPr="00613F59">
        <w:rPr>
          <w:rFonts w:eastAsiaTheme="minorEastAsia"/>
          <w:b/>
          <w:sz w:val="24"/>
          <w:szCs w:val="24"/>
        </w:rPr>
        <w:t>% -</w:t>
      </w:r>
      <w:r w:rsidRPr="000A635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136,9</w:t>
      </w:r>
      <w:r w:rsidRPr="000A635E">
        <w:rPr>
          <w:rFonts w:eastAsiaTheme="minorEastAsia"/>
          <w:sz w:val="24"/>
          <w:szCs w:val="24"/>
        </w:rPr>
        <w:t xml:space="preserve"> случа</w:t>
      </w:r>
      <w:r>
        <w:rPr>
          <w:rFonts w:eastAsiaTheme="minorEastAsia"/>
          <w:sz w:val="24"/>
          <w:szCs w:val="24"/>
        </w:rPr>
        <w:t>ев</w:t>
      </w:r>
      <w:r w:rsidRPr="000A635E">
        <w:rPr>
          <w:rFonts w:eastAsiaTheme="minorEastAsia"/>
          <w:sz w:val="24"/>
          <w:szCs w:val="24"/>
        </w:rPr>
        <w:t xml:space="preserve"> на 1000 населения).</w:t>
      </w:r>
    </w:p>
    <w:p w:rsidR="008B51E9" w:rsidRPr="000A635E" w:rsidRDefault="008B51E9" w:rsidP="008B51E9">
      <w:pPr>
        <w:spacing w:after="200"/>
        <w:rPr>
          <w:rFonts w:eastAsiaTheme="minorEastAsia"/>
          <w:sz w:val="24"/>
          <w:szCs w:val="24"/>
        </w:rPr>
      </w:pPr>
    </w:p>
    <w:p w:rsidR="008B51E9" w:rsidRDefault="008B51E9" w:rsidP="008B51E9">
      <w:pPr>
        <w:rPr>
          <w:rFonts w:eastAsiaTheme="minorEastAsia"/>
          <w:sz w:val="21"/>
          <w:szCs w:val="21"/>
        </w:rPr>
      </w:pPr>
      <w:r>
        <w:rPr>
          <w:noProof/>
        </w:rPr>
        <w:drawing>
          <wp:inline distT="0" distB="0" distL="0" distR="0" wp14:anchorId="7ACB3F14" wp14:editId="623FE7A3">
            <wp:extent cx="6030595" cy="4373593"/>
            <wp:effectExtent l="0" t="0" r="0" b="0"/>
            <wp:docPr id="6" name="Диаграмма 6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B51E9" w:rsidRDefault="008B51E9" w:rsidP="008B51E9">
      <w:pPr>
        <w:rPr>
          <w:rFonts w:eastAsiaTheme="minorEastAsia"/>
          <w:sz w:val="21"/>
          <w:szCs w:val="21"/>
        </w:rPr>
      </w:pPr>
    </w:p>
    <w:p w:rsidR="008B51E9" w:rsidRPr="000A635E" w:rsidRDefault="008B51E9" w:rsidP="008B51E9">
      <w:pPr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График № 8</w:t>
      </w:r>
      <w:r w:rsidRPr="000A635E">
        <w:rPr>
          <w:rFonts w:eastAsiaTheme="minorEastAsia"/>
          <w:sz w:val="21"/>
          <w:szCs w:val="21"/>
        </w:rPr>
        <w:t xml:space="preserve"> «Структура общей заболеваемости по нозологическим группам (дети) за 20</w:t>
      </w:r>
      <w:r>
        <w:rPr>
          <w:rFonts w:eastAsiaTheme="minorEastAsia"/>
          <w:sz w:val="21"/>
          <w:szCs w:val="21"/>
        </w:rPr>
        <w:t>21</w:t>
      </w:r>
      <w:r w:rsidRPr="000A635E">
        <w:rPr>
          <w:rFonts w:eastAsiaTheme="minorEastAsia"/>
          <w:sz w:val="21"/>
          <w:szCs w:val="21"/>
        </w:rPr>
        <w:t>г.</w:t>
      </w:r>
    </w:p>
    <w:p w:rsidR="008B51E9" w:rsidRPr="000A635E" w:rsidRDefault="008B51E9" w:rsidP="008B51E9">
      <w:pPr>
        <w:rPr>
          <w:rFonts w:eastAsiaTheme="minorEastAsia"/>
          <w:sz w:val="21"/>
          <w:szCs w:val="21"/>
        </w:rPr>
      </w:pPr>
    </w:p>
    <w:p w:rsidR="008B51E9" w:rsidRDefault="008B51E9" w:rsidP="008B51E9">
      <w:pPr>
        <w:ind w:firstLine="708"/>
        <w:rPr>
          <w:rFonts w:eastAsiaTheme="minorEastAsia"/>
          <w:sz w:val="24"/>
          <w:szCs w:val="21"/>
        </w:rPr>
      </w:pPr>
      <w:r w:rsidRPr="000A635E">
        <w:rPr>
          <w:rFonts w:eastAsiaTheme="minorEastAsia"/>
          <w:sz w:val="24"/>
          <w:szCs w:val="21"/>
        </w:rPr>
        <w:t xml:space="preserve">В структуре общей заболеваемости детей в </w:t>
      </w:r>
      <w:proofErr w:type="spellStart"/>
      <w:r w:rsidRPr="000A635E">
        <w:rPr>
          <w:rFonts w:eastAsiaTheme="minorEastAsia"/>
          <w:sz w:val="24"/>
          <w:szCs w:val="21"/>
        </w:rPr>
        <w:t>г</w:t>
      </w:r>
      <w:proofErr w:type="gramStart"/>
      <w:r w:rsidRPr="000A635E">
        <w:rPr>
          <w:rFonts w:eastAsiaTheme="minorEastAsia"/>
          <w:sz w:val="24"/>
          <w:szCs w:val="21"/>
        </w:rPr>
        <w:t>.Н</w:t>
      </w:r>
      <w:proofErr w:type="gramEnd"/>
      <w:r w:rsidRPr="000A635E">
        <w:rPr>
          <w:rFonts w:eastAsiaTheme="minorEastAsia"/>
          <w:sz w:val="24"/>
          <w:szCs w:val="21"/>
        </w:rPr>
        <w:t>ефтеюганске</w:t>
      </w:r>
      <w:proofErr w:type="spellEnd"/>
      <w:r w:rsidRPr="000A635E">
        <w:rPr>
          <w:rFonts w:eastAsiaTheme="minorEastAsia"/>
          <w:sz w:val="24"/>
          <w:szCs w:val="21"/>
        </w:rPr>
        <w:t xml:space="preserve"> первое место занимают болезни органов дыхания (</w:t>
      </w:r>
      <w:r>
        <w:rPr>
          <w:rFonts w:eastAsiaTheme="minorEastAsia"/>
          <w:sz w:val="24"/>
          <w:szCs w:val="21"/>
        </w:rPr>
        <w:t>69,9% - 2661,9</w:t>
      </w:r>
      <w:r w:rsidRPr="000A635E">
        <w:rPr>
          <w:rFonts w:eastAsiaTheme="minorEastAsia"/>
          <w:sz w:val="24"/>
          <w:szCs w:val="21"/>
        </w:rPr>
        <w:t xml:space="preserve"> </w:t>
      </w:r>
      <w:r>
        <w:rPr>
          <w:rFonts w:eastAsiaTheme="minorEastAsia"/>
          <w:sz w:val="24"/>
          <w:szCs w:val="21"/>
        </w:rPr>
        <w:t>случаев</w:t>
      </w:r>
      <w:r w:rsidRPr="000A635E">
        <w:rPr>
          <w:rFonts w:eastAsiaTheme="minorEastAsia"/>
          <w:sz w:val="24"/>
          <w:szCs w:val="21"/>
        </w:rPr>
        <w:t xml:space="preserve"> на 1000 детей); далее –</w:t>
      </w:r>
      <w:r>
        <w:rPr>
          <w:rFonts w:eastAsiaTheme="minorEastAsia"/>
          <w:sz w:val="24"/>
          <w:szCs w:val="21"/>
        </w:rPr>
        <w:t xml:space="preserve"> </w:t>
      </w:r>
      <w:r w:rsidRPr="00861821">
        <w:rPr>
          <w:rFonts w:eastAsiaTheme="minorEastAsia"/>
          <w:sz w:val="24"/>
          <w:szCs w:val="21"/>
        </w:rPr>
        <w:t xml:space="preserve">Болезни глаза и его придаточного аппарата </w:t>
      </w:r>
      <w:r>
        <w:rPr>
          <w:rFonts w:eastAsiaTheme="minorEastAsia"/>
          <w:sz w:val="24"/>
          <w:szCs w:val="21"/>
        </w:rPr>
        <w:t>(5,3</w:t>
      </w:r>
      <w:r w:rsidRPr="000A635E">
        <w:rPr>
          <w:rFonts w:eastAsiaTheme="minorEastAsia"/>
          <w:sz w:val="24"/>
          <w:szCs w:val="21"/>
        </w:rPr>
        <w:t xml:space="preserve">% - </w:t>
      </w:r>
      <w:r>
        <w:rPr>
          <w:rFonts w:eastAsiaTheme="minorEastAsia"/>
          <w:sz w:val="24"/>
          <w:szCs w:val="21"/>
        </w:rPr>
        <w:t>203,3</w:t>
      </w:r>
      <w:r w:rsidRPr="000A635E">
        <w:rPr>
          <w:rFonts w:eastAsiaTheme="minorEastAsia"/>
          <w:sz w:val="24"/>
          <w:szCs w:val="21"/>
        </w:rPr>
        <w:t xml:space="preserve"> случая на 1000 детей</w:t>
      </w:r>
      <w:r>
        <w:rPr>
          <w:rFonts w:eastAsiaTheme="minorEastAsia"/>
          <w:sz w:val="24"/>
          <w:szCs w:val="21"/>
        </w:rPr>
        <w:t>); далее – болезни нервной системы</w:t>
      </w:r>
      <w:r w:rsidRPr="000A635E">
        <w:rPr>
          <w:rFonts w:eastAsiaTheme="minorEastAsia"/>
          <w:sz w:val="24"/>
          <w:szCs w:val="21"/>
        </w:rPr>
        <w:t xml:space="preserve"> (</w:t>
      </w:r>
      <w:r>
        <w:rPr>
          <w:rFonts w:eastAsiaTheme="minorEastAsia"/>
          <w:sz w:val="24"/>
          <w:szCs w:val="21"/>
        </w:rPr>
        <w:t>3,8</w:t>
      </w:r>
      <w:r w:rsidRPr="000A635E">
        <w:rPr>
          <w:rFonts w:eastAsiaTheme="minorEastAsia"/>
          <w:sz w:val="24"/>
          <w:szCs w:val="21"/>
        </w:rPr>
        <w:t xml:space="preserve">% - </w:t>
      </w:r>
      <w:r>
        <w:rPr>
          <w:rFonts w:eastAsiaTheme="minorEastAsia"/>
          <w:sz w:val="24"/>
          <w:szCs w:val="21"/>
        </w:rPr>
        <w:t>144,1</w:t>
      </w:r>
      <w:r w:rsidRPr="000A635E">
        <w:rPr>
          <w:rFonts w:eastAsiaTheme="minorEastAsia"/>
          <w:sz w:val="24"/>
          <w:szCs w:val="21"/>
        </w:rPr>
        <w:t xml:space="preserve"> случая на 1000 детей).</w:t>
      </w:r>
    </w:p>
    <w:p w:rsidR="008B51E9" w:rsidRDefault="008B51E9" w:rsidP="008B51E9">
      <w:pPr>
        <w:ind w:firstLine="708"/>
        <w:rPr>
          <w:rFonts w:eastAsiaTheme="minorEastAsia"/>
          <w:sz w:val="24"/>
          <w:szCs w:val="21"/>
        </w:rPr>
      </w:pPr>
    </w:p>
    <w:p w:rsidR="008B51E9" w:rsidRPr="000A635E" w:rsidRDefault="008B51E9" w:rsidP="008B51E9">
      <w:pPr>
        <w:spacing w:after="200"/>
        <w:rPr>
          <w:rFonts w:eastAsiaTheme="minor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8A63E58" wp14:editId="2CB27F8D">
            <wp:extent cx="6030595" cy="5055079"/>
            <wp:effectExtent l="0" t="0" r="0" b="0"/>
            <wp:docPr id="8" name="Диаграмма 8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B51E9" w:rsidRPr="000A635E" w:rsidRDefault="008B51E9" w:rsidP="008B51E9">
      <w:pPr>
        <w:spacing w:after="200"/>
        <w:rPr>
          <w:rFonts w:eastAsiaTheme="minorEastAsia"/>
        </w:rPr>
      </w:pPr>
      <w:r>
        <w:rPr>
          <w:rFonts w:eastAsiaTheme="minorEastAsia"/>
          <w:sz w:val="21"/>
          <w:szCs w:val="21"/>
        </w:rPr>
        <w:t>График № 9</w:t>
      </w:r>
      <w:r w:rsidRPr="000A635E">
        <w:rPr>
          <w:rFonts w:eastAsiaTheme="minorEastAsia"/>
          <w:sz w:val="21"/>
          <w:szCs w:val="21"/>
        </w:rPr>
        <w:t xml:space="preserve"> «Структура общей заболеваемости по нозологическим группам (подростки) за 20</w:t>
      </w:r>
      <w:r>
        <w:rPr>
          <w:rFonts w:eastAsiaTheme="minorEastAsia"/>
          <w:sz w:val="21"/>
          <w:szCs w:val="21"/>
        </w:rPr>
        <w:t>21</w:t>
      </w:r>
      <w:r w:rsidRPr="000A635E">
        <w:rPr>
          <w:rFonts w:eastAsiaTheme="minorEastAsia"/>
          <w:sz w:val="21"/>
          <w:szCs w:val="21"/>
        </w:rPr>
        <w:t>г.</w:t>
      </w:r>
    </w:p>
    <w:p w:rsidR="008B51E9" w:rsidRPr="000518C5" w:rsidRDefault="008B51E9" w:rsidP="008B51E9">
      <w:pPr>
        <w:tabs>
          <w:tab w:val="left" w:pos="851"/>
        </w:tabs>
        <w:rPr>
          <w:rFonts w:eastAsiaTheme="minorEastAsia"/>
          <w:sz w:val="24"/>
        </w:rPr>
      </w:pPr>
      <w:r>
        <w:rPr>
          <w:rFonts w:eastAsiaTheme="minorEastAsia"/>
          <w:sz w:val="24"/>
          <w:szCs w:val="21"/>
        </w:rPr>
        <w:tab/>
      </w:r>
      <w:r w:rsidRPr="000518C5">
        <w:rPr>
          <w:rFonts w:eastAsiaTheme="minorEastAsia"/>
          <w:sz w:val="24"/>
          <w:szCs w:val="21"/>
        </w:rPr>
        <w:t xml:space="preserve">В структуре общей заболеваемости подростков в </w:t>
      </w:r>
      <w:proofErr w:type="spellStart"/>
      <w:r w:rsidRPr="000518C5">
        <w:rPr>
          <w:rFonts w:eastAsiaTheme="minorEastAsia"/>
          <w:sz w:val="24"/>
          <w:szCs w:val="21"/>
        </w:rPr>
        <w:t>г</w:t>
      </w:r>
      <w:proofErr w:type="gramStart"/>
      <w:r w:rsidRPr="000518C5">
        <w:rPr>
          <w:rFonts w:eastAsiaTheme="minorEastAsia"/>
          <w:sz w:val="24"/>
          <w:szCs w:val="21"/>
        </w:rPr>
        <w:t>.Н</w:t>
      </w:r>
      <w:proofErr w:type="gramEnd"/>
      <w:r w:rsidRPr="000518C5">
        <w:rPr>
          <w:rFonts w:eastAsiaTheme="minorEastAsia"/>
          <w:sz w:val="24"/>
          <w:szCs w:val="21"/>
        </w:rPr>
        <w:t>ефтеюганске</w:t>
      </w:r>
      <w:proofErr w:type="spellEnd"/>
      <w:r w:rsidRPr="000518C5">
        <w:rPr>
          <w:rFonts w:eastAsiaTheme="minorEastAsia"/>
          <w:sz w:val="24"/>
          <w:szCs w:val="21"/>
        </w:rPr>
        <w:t xml:space="preserve"> первое место занимают болезни органов дыхания (5</w:t>
      </w:r>
      <w:r>
        <w:rPr>
          <w:rFonts w:eastAsiaTheme="minorEastAsia"/>
          <w:sz w:val="24"/>
          <w:szCs w:val="21"/>
        </w:rPr>
        <w:t>3,5</w:t>
      </w:r>
      <w:r w:rsidRPr="000518C5">
        <w:rPr>
          <w:rFonts w:eastAsiaTheme="minorEastAsia"/>
          <w:sz w:val="24"/>
          <w:szCs w:val="21"/>
        </w:rPr>
        <w:t xml:space="preserve"> % - </w:t>
      </w:r>
      <w:r>
        <w:rPr>
          <w:rFonts w:eastAsiaTheme="minorEastAsia"/>
          <w:sz w:val="24"/>
          <w:szCs w:val="21"/>
        </w:rPr>
        <w:t>1727,2</w:t>
      </w:r>
      <w:r w:rsidRPr="000518C5">
        <w:rPr>
          <w:rFonts w:eastAsiaTheme="minorEastAsia"/>
          <w:sz w:val="24"/>
          <w:szCs w:val="21"/>
        </w:rPr>
        <w:t xml:space="preserve"> случая на 1000 подростков); далее – </w:t>
      </w:r>
      <w:r w:rsidRPr="00861821">
        <w:rPr>
          <w:rFonts w:eastAsiaTheme="minorEastAsia"/>
          <w:sz w:val="24"/>
          <w:szCs w:val="21"/>
        </w:rPr>
        <w:t xml:space="preserve">Травмы, отравления и некоторые другие последствия воздействия внешних  причин </w:t>
      </w:r>
      <w:r w:rsidRPr="000518C5">
        <w:rPr>
          <w:rFonts w:eastAsiaTheme="minorEastAsia"/>
          <w:sz w:val="24"/>
          <w:szCs w:val="21"/>
        </w:rPr>
        <w:t>(6,</w:t>
      </w:r>
      <w:r>
        <w:rPr>
          <w:rFonts w:eastAsiaTheme="minorEastAsia"/>
          <w:sz w:val="24"/>
          <w:szCs w:val="21"/>
        </w:rPr>
        <w:t>6</w:t>
      </w:r>
      <w:r w:rsidRPr="000518C5">
        <w:rPr>
          <w:rFonts w:eastAsiaTheme="minorEastAsia"/>
          <w:sz w:val="24"/>
          <w:szCs w:val="21"/>
        </w:rPr>
        <w:t xml:space="preserve">% - </w:t>
      </w:r>
      <w:r>
        <w:rPr>
          <w:rFonts w:eastAsiaTheme="minorEastAsia"/>
          <w:sz w:val="24"/>
          <w:szCs w:val="21"/>
        </w:rPr>
        <w:t>211,6</w:t>
      </w:r>
      <w:r w:rsidRPr="000518C5">
        <w:rPr>
          <w:rFonts w:eastAsiaTheme="minorEastAsia"/>
          <w:sz w:val="24"/>
          <w:szCs w:val="21"/>
        </w:rPr>
        <w:t xml:space="preserve"> случая на 1000 подростков), </w:t>
      </w:r>
      <w:r w:rsidRPr="00BF3F5D">
        <w:rPr>
          <w:rFonts w:eastAsiaTheme="minorEastAsia"/>
          <w:sz w:val="24"/>
          <w:szCs w:val="21"/>
        </w:rPr>
        <w:t xml:space="preserve">Болезни глаза и его придаточного аппарата </w:t>
      </w:r>
      <w:r w:rsidRPr="000518C5">
        <w:rPr>
          <w:rFonts w:eastAsiaTheme="minorEastAsia"/>
          <w:sz w:val="24"/>
          <w:szCs w:val="21"/>
        </w:rPr>
        <w:t>(5,</w:t>
      </w:r>
      <w:r>
        <w:rPr>
          <w:rFonts w:eastAsiaTheme="minorEastAsia"/>
          <w:sz w:val="24"/>
          <w:szCs w:val="21"/>
        </w:rPr>
        <w:t>9</w:t>
      </w:r>
      <w:r w:rsidRPr="000518C5">
        <w:rPr>
          <w:rFonts w:eastAsiaTheme="minorEastAsia"/>
          <w:sz w:val="24"/>
          <w:szCs w:val="21"/>
        </w:rPr>
        <w:t>% - 1</w:t>
      </w:r>
      <w:r>
        <w:rPr>
          <w:rFonts w:eastAsiaTheme="minorEastAsia"/>
          <w:sz w:val="24"/>
          <w:szCs w:val="21"/>
        </w:rPr>
        <w:t>91</w:t>
      </w:r>
      <w:r w:rsidRPr="000518C5">
        <w:rPr>
          <w:rFonts w:eastAsiaTheme="minorEastAsia"/>
          <w:sz w:val="24"/>
          <w:szCs w:val="21"/>
        </w:rPr>
        <w:t>,</w:t>
      </w:r>
      <w:r>
        <w:rPr>
          <w:rFonts w:eastAsiaTheme="minorEastAsia"/>
          <w:sz w:val="24"/>
          <w:szCs w:val="21"/>
        </w:rPr>
        <w:t>6</w:t>
      </w:r>
      <w:r w:rsidRPr="000518C5">
        <w:rPr>
          <w:rFonts w:eastAsiaTheme="minorEastAsia"/>
          <w:sz w:val="24"/>
          <w:szCs w:val="21"/>
        </w:rPr>
        <w:t xml:space="preserve"> случая на 1000 подростков).</w:t>
      </w:r>
    </w:p>
    <w:p w:rsidR="008B51E9" w:rsidRPr="000A635E" w:rsidRDefault="008B51E9" w:rsidP="008B51E9">
      <w:pPr>
        <w:spacing w:after="200"/>
        <w:rPr>
          <w:rFonts w:eastAsiaTheme="minorEastAsia"/>
          <w:sz w:val="24"/>
          <w:szCs w:val="24"/>
        </w:rPr>
      </w:pPr>
    </w:p>
    <w:p w:rsidR="008B51E9" w:rsidRDefault="008B51E9" w:rsidP="008B51E9">
      <w:pPr>
        <w:jc w:val="both"/>
        <w:rPr>
          <w:rFonts w:eastAsiaTheme="minorEastAsia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56D405EF" wp14:editId="1EF48721">
            <wp:extent cx="6030595" cy="3485071"/>
            <wp:effectExtent l="0" t="0" r="0" b="0"/>
            <wp:docPr id="9" name="Диаграмма 9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10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B51E9" w:rsidRDefault="008B51E9" w:rsidP="008B51E9">
      <w:pPr>
        <w:jc w:val="both"/>
        <w:rPr>
          <w:rFonts w:eastAsiaTheme="minorEastAsia"/>
          <w:sz w:val="21"/>
          <w:szCs w:val="21"/>
        </w:rPr>
      </w:pPr>
    </w:p>
    <w:p w:rsidR="008B51E9" w:rsidRPr="000A635E" w:rsidRDefault="008B51E9" w:rsidP="008B51E9">
      <w:pPr>
        <w:jc w:val="both"/>
        <w:rPr>
          <w:rFonts w:eastAsiaTheme="minorEastAsia"/>
        </w:rPr>
      </w:pPr>
      <w:r>
        <w:rPr>
          <w:rFonts w:eastAsiaTheme="minorEastAsia"/>
          <w:sz w:val="21"/>
          <w:szCs w:val="21"/>
        </w:rPr>
        <w:t xml:space="preserve">График № 10 </w:t>
      </w:r>
      <w:r w:rsidRPr="000A635E">
        <w:rPr>
          <w:rFonts w:eastAsiaTheme="minorEastAsia"/>
          <w:sz w:val="21"/>
          <w:szCs w:val="21"/>
        </w:rPr>
        <w:t>«Структура общей заболеваемости по нозологическим группам (взрослые) за 20</w:t>
      </w:r>
      <w:r>
        <w:rPr>
          <w:rFonts w:eastAsiaTheme="minorEastAsia"/>
          <w:sz w:val="21"/>
          <w:szCs w:val="21"/>
        </w:rPr>
        <w:t>21</w:t>
      </w:r>
      <w:r w:rsidRPr="000A635E">
        <w:rPr>
          <w:rFonts w:eastAsiaTheme="minorEastAsia"/>
          <w:sz w:val="21"/>
          <w:szCs w:val="21"/>
        </w:rPr>
        <w:t>г.</w:t>
      </w:r>
    </w:p>
    <w:p w:rsidR="008B51E9" w:rsidRPr="000A635E" w:rsidRDefault="008B51E9" w:rsidP="008B51E9">
      <w:pPr>
        <w:jc w:val="both"/>
        <w:rPr>
          <w:rFonts w:eastAsiaTheme="minorEastAsia"/>
          <w:sz w:val="21"/>
          <w:szCs w:val="21"/>
        </w:rPr>
      </w:pPr>
    </w:p>
    <w:p w:rsidR="008B51E9" w:rsidRPr="000518C5" w:rsidRDefault="008B51E9" w:rsidP="008B51E9">
      <w:pPr>
        <w:jc w:val="both"/>
        <w:rPr>
          <w:rFonts w:eastAsiaTheme="minorEastAsia"/>
          <w:sz w:val="24"/>
          <w:szCs w:val="21"/>
        </w:rPr>
      </w:pPr>
      <w:r>
        <w:rPr>
          <w:rFonts w:eastAsiaTheme="minorEastAsia"/>
          <w:sz w:val="24"/>
          <w:szCs w:val="21"/>
        </w:rPr>
        <w:tab/>
      </w:r>
      <w:r w:rsidRPr="000518C5">
        <w:rPr>
          <w:rFonts w:eastAsiaTheme="minorEastAsia"/>
          <w:sz w:val="24"/>
          <w:szCs w:val="21"/>
        </w:rPr>
        <w:t xml:space="preserve">В структуре общей заболеваемости взрослого населения в </w:t>
      </w:r>
      <w:proofErr w:type="spellStart"/>
      <w:r w:rsidRPr="000518C5">
        <w:rPr>
          <w:rFonts w:eastAsiaTheme="minorEastAsia"/>
          <w:sz w:val="24"/>
          <w:szCs w:val="21"/>
        </w:rPr>
        <w:t>г</w:t>
      </w:r>
      <w:proofErr w:type="gramStart"/>
      <w:r w:rsidRPr="000518C5">
        <w:rPr>
          <w:rFonts w:eastAsiaTheme="minorEastAsia"/>
          <w:sz w:val="24"/>
          <w:szCs w:val="21"/>
        </w:rPr>
        <w:t>.Н</w:t>
      </w:r>
      <w:proofErr w:type="gramEnd"/>
      <w:r w:rsidRPr="000518C5">
        <w:rPr>
          <w:rFonts w:eastAsiaTheme="minorEastAsia"/>
          <w:sz w:val="24"/>
          <w:szCs w:val="21"/>
        </w:rPr>
        <w:t>ефтеюганске</w:t>
      </w:r>
      <w:proofErr w:type="spellEnd"/>
      <w:r w:rsidRPr="000518C5">
        <w:rPr>
          <w:rFonts w:eastAsiaTheme="minorEastAsia"/>
          <w:sz w:val="24"/>
          <w:szCs w:val="21"/>
        </w:rPr>
        <w:t xml:space="preserve"> первое место занимают болезни органов дыхания (1</w:t>
      </w:r>
      <w:r>
        <w:rPr>
          <w:rFonts w:eastAsiaTheme="minorEastAsia"/>
          <w:sz w:val="24"/>
          <w:szCs w:val="21"/>
        </w:rPr>
        <w:t>8,3</w:t>
      </w:r>
      <w:r w:rsidRPr="000518C5">
        <w:rPr>
          <w:rFonts w:eastAsiaTheme="minorEastAsia"/>
          <w:sz w:val="24"/>
          <w:szCs w:val="21"/>
        </w:rPr>
        <w:t>% - 21</w:t>
      </w:r>
      <w:r>
        <w:rPr>
          <w:rFonts w:eastAsiaTheme="minorEastAsia"/>
          <w:sz w:val="24"/>
          <w:szCs w:val="21"/>
        </w:rPr>
        <w:t>1,3</w:t>
      </w:r>
      <w:r w:rsidRPr="000518C5">
        <w:rPr>
          <w:rFonts w:eastAsiaTheme="minorEastAsia"/>
          <w:sz w:val="24"/>
          <w:szCs w:val="21"/>
        </w:rPr>
        <w:t xml:space="preserve"> случая на 1000 населения),); далее – болезни костно-мышечной системы (1</w:t>
      </w:r>
      <w:r>
        <w:rPr>
          <w:rFonts w:eastAsiaTheme="minorEastAsia"/>
          <w:sz w:val="24"/>
          <w:szCs w:val="21"/>
        </w:rPr>
        <w:t>6,2</w:t>
      </w:r>
      <w:r w:rsidRPr="000518C5">
        <w:rPr>
          <w:rFonts w:eastAsiaTheme="minorEastAsia"/>
          <w:sz w:val="24"/>
          <w:szCs w:val="21"/>
        </w:rPr>
        <w:t>% - 18</w:t>
      </w:r>
      <w:r>
        <w:rPr>
          <w:rFonts w:eastAsiaTheme="minorEastAsia"/>
          <w:sz w:val="24"/>
          <w:szCs w:val="21"/>
        </w:rPr>
        <w:t>7,5</w:t>
      </w:r>
      <w:r w:rsidRPr="000518C5">
        <w:rPr>
          <w:rFonts w:eastAsiaTheme="minorEastAsia"/>
          <w:sz w:val="24"/>
          <w:szCs w:val="21"/>
        </w:rPr>
        <w:t xml:space="preserve"> случая на 1000 населения), болезни органов кровообращения (1</w:t>
      </w:r>
      <w:r>
        <w:rPr>
          <w:rFonts w:eastAsiaTheme="minorEastAsia"/>
          <w:sz w:val="24"/>
          <w:szCs w:val="21"/>
        </w:rPr>
        <w:t>4,8</w:t>
      </w:r>
      <w:r w:rsidRPr="000518C5">
        <w:rPr>
          <w:rFonts w:eastAsiaTheme="minorEastAsia"/>
          <w:sz w:val="24"/>
          <w:szCs w:val="21"/>
        </w:rPr>
        <w:t>% - 1</w:t>
      </w:r>
      <w:r>
        <w:rPr>
          <w:rFonts w:eastAsiaTheme="minorEastAsia"/>
          <w:sz w:val="24"/>
          <w:szCs w:val="21"/>
        </w:rPr>
        <w:t>71,2</w:t>
      </w:r>
      <w:r w:rsidRPr="000518C5">
        <w:rPr>
          <w:rFonts w:eastAsiaTheme="minorEastAsia"/>
          <w:sz w:val="24"/>
          <w:szCs w:val="21"/>
        </w:rPr>
        <w:t xml:space="preserve"> случая на 1000 населения).</w:t>
      </w:r>
    </w:p>
    <w:p w:rsidR="008B51E9" w:rsidRPr="000518C5" w:rsidRDefault="008B51E9" w:rsidP="008B51E9">
      <w:pPr>
        <w:jc w:val="both"/>
        <w:rPr>
          <w:rFonts w:eastAsiaTheme="minorEastAsia"/>
          <w:sz w:val="24"/>
          <w:szCs w:val="21"/>
        </w:rPr>
      </w:pPr>
      <w:r>
        <w:rPr>
          <w:rFonts w:eastAsiaTheme="minorEastAsia"/>
          <w:sz w:val="24"/>
          <w:szCs w:val="21"/>
        </w:rPr>
        <w:tab/>
      </w:r>
      <w:r w:rsidRPr="000A635E">
        <w:rPr>
          <w:rFonts w:eastAsiaTheme="minorEastAsia"/>
          <w:sz w:val="24"/>
          <w:szCs w:val="24"/>
        </w:rPr>
        <w:t>Первое место в группе лидирующих заболеваний занимают болезни органов дыхания, а в их структуре в целом и по возрастным группам лидируют такие виды патологии, как: острые респираторные инфекции верхних дыхательных путей,</w:t>
      </w:r>
      <w:r>
        <w:rPr>
          <w:rFonts w:eastAsiaTheme="minorEastAsia"/>
          <w:sz w:val="24"/>
          <w:szCs w:val="24"/>
        </w:rPr>
        <w:t xml:space="preserve"> внебольничная пневмония,</w:t>
      </w:r>
      <w:r w:rsidRPr="000A635E">
        <w:rPr>
          <w:rFonts w:eastAsiaTheme="minorEastAsia"/>
          <w:sz w:val="24"/>
          <w:szCs w:val="24"/>
        </w:rPr>
        <w:t xml:space="preserve"> астма и астматический статус. Причиной этому, вероятно, послужило неблагоприятное воздействие таких факторов окружающей среды, как климатические условия, атмосферный воздух, воздух рабочей зоны, микроклимат помещений. Первое ранговое место в структуре заболеваемости с ВУТ занимают также болезни органов дыхания. </w:t>
      </w:r>
    </w:p>
    <w:p w:rsidR="008B51E9" w:rsidRPr="000A635E" w:rsidRDefault="008B51E9" w:rsidP="008B51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факторов высокого уровня заболеваемости по классам: болезни системы пищеварения, мочеполовой системы, болезни кожи и пр.</w:t>
      </w:r>
    </w:p>
    <w:p w:rsidR="008B51E9" w:rsidRPr="000A635E" w:rsidRDefault="008B51E9" w:rsidP="008B51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Сложившаяся ситуация с состоянием и качеством питания населения города Нефтеюганска, с учетом влияния факторов внешней среды и наследственности, определяет рост алиментарно-зависимых заболеваний и болезней органов пищеварения (БОП) среди населения города. </w:t>
      </w:r>
    </w:p>
    <w:p w:rsidR="008B51E9" w:rsidRPr="000A635E" w:rsidRDefault="008B51E9" w:rsidP="008B51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>В связи со снижением потребления населением полноценных животных белков, а, следовательно, и незаменимых аминокислот, избыточное потребление углеводов, в том числе сахара и другие погрешности питания, отмечается неуклонный рост числа алиментарно-зависимых заболеваний и болезней органов пищеварения среди населения города. В 20</w:t>
      </w:r>
      <w:r>
        <w:rPr>
          <w:rFonts w:eastAsiaTheme="minorEastAsia"/>
          <w:sz w:val="24"/>
          <w:szCs w:val="24"/>
        </w:rPr>
        <w:t xml:space="preserve">21 </w:t>
      </w:r>
      <w:r w:rsidRPr="000A635E">
        <w:rPr>
          <w:rFonts w:eastAsiaTheme="minorEastAsia"/>
          <w:sz w:val="24"/>
          <w:szCs w:val="24"/>
        </w:rPr>
        <w:t>году,</w:t>
      </w:r>
      <w:r>
        <w:rPr>
          <w:rFonts w:eastAsiaTheme="minorEastAsia"/>
          <w:sz w:val="24"/>
          <w:szCs w:val="24"/>
        </w:rPr>
        <w:t xml:space="preserve"> </w:t>
      </w:r>
      <w:r w:rsidRPr="000A635E">
        <w:rPr>
          <w:rFonts w:eastAsiaTheme="minorEastAsia"/>
          <w:sz w:val="24"/>
          <w:szCs w:val="24"/>
        </w:rPr>
        <w:t>как и в 20</w:t>
      </w:r>
      <w:r>
        <w:rPr>
          <w:rFonts w:eastAsiaTheme="minorEastAsia"/>
          <w:sz w:val="24"/>
          <w:szCs w:val="24"/>
        </w:rPr>
        <w:t>20</w:t>
      </w:r>
      <w:r w:rsidRPr="000A635E">
        <w:rPr>
          <w:rFonts w:eastAsiaTheme="minorEastAsia"/>
          <w:sz w:val="24"/>
          <w:szCs w:val="24"/>
        </w:rPr>
        <w:t>, показатель заболеваемости по классу болезни эндокринной системы, нарушения питания и нарушения обмена веществ остается высоким.</w:t>
      </w:r>
    </w:p>
    <w:p w:rsidR="008B51E9" w:rsidRPr="00097BEB" w:rsidRDefault="008B51E9" w:rsidP="008B51E9">
      <w:pPr>
        <w:tabs>
          <w:tab w:val="left" w:pos="8364"/>
        </w:tabs>
        <w:autoSpaceDE w:val="0"/>
        <w:autoSpaceDN w:val="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lastRenderedPageBreak/>
        <w:t>На протяжении всего наблюдаемого периода ведущее место у взрослых принадлежит сахарному диабету</w:t>
      </w:r>
      <w:r>
        <w:rPr>
          <w:rFonts w:eastAsiaTheme="minorEastAsia"/>
          <w:sz w:val="24"/>
          <w:szCs w:val="24"/>
        </w:rPr>
        <w:t xml:space="preserve"> 2 типа</w:t>
      </w:r>
      <w:r w:rsidRPr="000A635E">
        <w:rPr>
          <w:rFonts w:eastAsiaTheme="minorEastAsia"/>
          <w:sz w:val="24"/>
          <w:szCs w:val="24"/>
        </w:rPr>
        <w:t>, показатель заболеваемости которым имеет тенденцию к прогрессированию.</w:t>
      </w:r>
    </w:p>
    <w:p w:rsidR="00BE1110" w:rsidRPr="008B51E9" w:rsidRDefault="00BE1110" w:rsidP="008B51E9">
      <w:pPr>
        <w:rPr>
          <w:rFonts w:eastAsiaTheme="minorEastAsia"/>
        </w:rPr>
      </w:pPr>
    </w:p>
    <w:sectPr w:rsidR="00BE1110" w:rsidRPr="008B51E9" w:rsidSect="0017186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67" w:right="850" w:bottom="567" w:left="1701" w:header="964" w:footer="964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7B" w:rsidRDefault="00E2727B" w:rsidP="00AE43F0">
      <w:r>
        <w:separator/>
      </w:r>
    </w:p>
  </w:endnote>
  <w:endnote w:type="continuationSeparator" w:id="0">
    <w:p w:rsidR="00E2727B" w:rsidRDefault="00E2727B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69" w:rsidRDefault="0017186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344654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300CD6" w:rsidRDefault="00300C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869">
          <w:rPr>
            <w:noProof/>
          </w:rPr>
          <w:t>26</w:t>
        </w:r>
        <w:r>
          <w:fldChar w:fldCharType="end"/>
        </w:r>
      </w:p>
    </w:sdtContent>
  </w:sdt>
  <w:p w:rsidR="00C04832" w:rsidRDefault="00C0483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69" w:rsidRDefault="001718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7B" w:rsidRDefault="00E2727B" w:rsidP="00AE43F0">
      <w:r>
        <w:separator/>
      </w:r>
    </w:p>
  </w:footnote>
  <w:footnote w:type="continuationSeparator" w:id="0">
    <w:p w:rsidR="00E2727B" w:rsidRDefault="00E2727B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69" w:rsidRDefault="001718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69" w:rsidRDefault="0017186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69" w:rsidRDefault="001718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2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4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7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6"/>
  </w:num>
  <w:num w:numId="13">
    <w:abstractNumId w:val="0"/>
  </w:num>
  <w:num w:numId="14">
    <w:abstractNumId w:val="1"/>
  </w:num>
  <w:num w:numId="15">
    <w:abstractNumId w:val="23"/>
  </w:num>
  <w:num w:numId="16">
    <w:abstractNumId w:val="8"/>
  </w:num>
  <w:num w:numId="17">
    <w:abstractNumId w:val="28"/>
  </w:num>
  <w:num w:numId="18">
    <w:abstractNumId w:val="10"/>
  </w:num>
  <w:num w:numId="19">
    <w:abstractNumId w:val="13"/>
  </w:num>
  <w:num w:numId="20">
    <w:abstractNumId w:val="34"/>
  </w:num>
  <w:num w:numId="21">
    <w:abstractNumId w:val="25"/>
  </w:num>
  <w:num w:numId="22">
    <w:abstractNumId w:val="21"/>
  </w:num>
  <w:num w:numId="23">
    <w:abstractNumId w:val="1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6"/>
  </w:num>
  <w:num w:numId="27">
    <w:abstractNumId w:val="18"/>
  </w:num>
  <w:num w:numId="28">
    <w:abstractNumId w:val="32"/>
  </w:num>
  <w:num w:numId="29">
    <w:abstractNumId w:val="16"/>
  </w:num>
  <w:num w:numId="30">
    <w:abstractNumId w:val="5"/>
  </w:num>
  <w:num w:numId="31">
    <w:abstractNumId w:val="19"/>
  </w:num>
  <w:num w:numId="32">
    <w:abstractNumId w:val="35"/>
  </w:num>
  <w:num w:numId="33">
    <w:abstractNumId w:val="12"/>
  </w:num>
  <w:num w:numId="34">
    <w:abstractNumId w:val="17"/>
  </w:num>
  <w:num w:numId="35">
    <w:abstractNumId w:val="9"/>
  </w:num>
  <w:num w:numId="36">
    <w:abstractNumId w:val="3"/>
  </w:num>
  <w:num w:numId="37">
    <w:abstractNumId w:val="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AE"/>
    <w:rsid w:val="00001027"/>
    <w:rsid w:val="00005A2A"/>
    <w:rsid w:val="00013BEB"/>
    <w:rsid w:val="0001682D"/>
    <w:rsid w:val="00020196"/>
    <w:rsid w:val="00050967"/>
    <w:rsid w:val="00051642"/>
    <w:rsid w:val="000518C5"/>
    <w:rsid w:val="000543A1"/>
    <w:rsid w:val="0006002F"/>
    <w:rsid w:val="000622D0"/>
    <w:rsid w:val="00065C6D"/>
    <w:rsid w:val="00070437"/>
    <w:rsid w:val="000722C5"/>
    <w:rsid w:val="000817FE"/>
    <w:rsid w:val="00083132"/>
    <w:rsid w:val="000855D8"/>
    <w:rsid w:val="00094B77"/>
    <w:rsid w:val="00097BEB"/>
    <w:rsid w:val="000A635E"/>
    <w:rsid w:val="000B51B0"/>
    <w:rsid w:val="000B5FBC"/>
    <w:rsid w:val="000B6099"/>
    <w:rsid w:val="000C5F56"/>
    <w:rsid w:val="000D298D"/>
    <w:rsid w:val="000D5A5D"/>
    <w:rsid w:val="000E45F0"/>
    <w:rsid w:val="000E5849"/>
    <w:rsid w:val="000F12AF"/>
    <w:rsid w:val="000F5878"/>
    <w:rsid w:val="00100991"/>
    <w:rsid w:val="00106301"/>
    <w:rsid w:val="00111386"/>
    <w:rsid w:val="00115082"/>
    <w:rsid w:val="00116523"/>
    <w:rsid w:val="0012285B"/>
    <w:rsid w:val="00133983"/>
    <w:rsid w:val="0013418A"/>
    <w:rsid w:val="00137EC1"/>
    <w:rsid w:val="00142AAE"/>
    <w:rsid w:val="001600D6"/>
    <w:rsid w:val="00161067"/>
    <w:rsid w:val="00165166"/>
    <w:rsid w:val="0016636D"/>
    <w:rsid w:val="00166E4A"/>
    <w:rsid w:val="00171869"/>
    <w:rsid w:val="00172D68"/>
    <w:rsid w:val="001732F6"/>
    <w:rsid w:val="0017704C"/>
    <w:rsid w:val="00183C3B"/>
    <w:rsid w:val="00192172"/>
    <w:rsid w:val="001A56EF"/>
    <w:rsid w:val="001B4E8C"/>
    <w:rsid w:val="001C036D"/>
    <w:rsid w:val="001D2069"/>
    <w:rsid w:val="001D5BDA"/>
    <w:rsid w:val="001E292D"/>
    <w:rsid w:val="001E4562"/>
    <w:rsid w:val="001E5DD0"/>
    <w:rsid w:val="001F52B9"/>
    <w:rsid w:val="0020586B"/>
    <w:rsid w:val="0020755A"/>
    <w:rsid w:val="00215D5A"/>
    <w:rsid w:val="00220021"/>
    <w:rsid w:val="00220CE1"/>
    <w:rsid w:val="0022157B"/>
    <w:rsid w:val="00223BEF"/>
    <w:rsid w:val="0022753D"/>
    <w:rsid w:val="00230739"/>
    <w:rsid w:val="002338DF"/>
    <w:rsid w:val="002477E1"/>
    <w:rsid w:val="00250FA7"/>
    <w:rsid w:val="00252534"/>
    <w:rsid w:val="00264AA1"/>
    <w:rsid w:val="002668B6"/>
    <w:rsid w:val="0026723C"/>
    <w:rsid w:val="00281B2A"/>
    <w:rsid w:val="002823CE"/>
    <w:rsid w:val="00283DF1"/>
    <w:rsid w:val="00284119"/>
    <w:rsid w:val="002A0CD2"/>
    <w:rsid w:val="002A44E7"/>
    <w:rsid w:val="002C2F22"/>
    <w:rsid w:val="002C4993"/>
    <w:rsid w:val="002C49C9"/>
    <w:rsid w:val="002C5078"/>
    <w:rsid w:val="002D1CE5"/>
    <w:rsid w:val="002D624D"/>
    <w:rsid w:val="002F20DE"/>
    <w:rsid w:val="00300CD6"/>
    <w:rsid w:val="00302B9F"/>
    <w:rsid w:val="003130BB"/>
    <w:rsid w:val="00323494"/>
    <w:rsid w:val="003244E5"/>
    <w:rsid w:val="00330E8E"/>
    <w:rsid w:val="00340986"/>
    <w:rsid w:val="0036576E"/>
    <w:rsid w:val="00365990"/>
    <w:rsid w:val="0038615F"/>
    <w:rsid w:val="00393083"/>
    <w:rsid w:val="00395BD9"/>
    <w:rsid w:val="00397F7B"/>
    <w:rsid w:val="003B6C5A"/>
    <w:rsid w:val="003C07AF"/>
    <w:rsid w:val="003C35DD"/>
    <w:rsid w:val="003D11D6"/>
    <w:rsid w:val="003D6C5A"/>
    <w:rsid w:val="003E7EA5"/>
    <w:rsid w:val="003F43D7"/>
    <w:rsid w:val="004025EF"/>
    <w:rsid w:val="0040360C"/>
    <w:rsid w:val="00404BE9"/>
    <w:rsid w:val="0041171A"/>
    <w:rsid w:val="00425E72"/>
    <w:rsid w:val="004432A9"/>
    <w:rsid w:val="00446531"/>
    <w:rsid w:val="00447E0A"/>
    <w:rsid w:val="00447F3F"/>
    <w:rsid w:val="004570EE"/>
    <w:rsid w:val="00461EC4"/>
    <w:rsid w:val="00465E54"/>
    <w:rsid w:val="004732CF"/>
    <w:rsid w:val="00475FF0"/>
    <w:rsid w:val="0048301D"/>
    <w:rsid w:val="004836C0"/>
    <w:rsid w:val="00487709"/>
    <w:rsid w:val="00487C61"/>
    <w:rsid w:val="00492707"/>
    <w:rsid w:val="004B6EEC"/>
    <w:rsid w:val="004E31C7"/>
    <w:rsid w:val="004E6C6D"/>
    <w:rsid w:val="004F3655"/>
    <w:rsid w:val="0050282B"/>
    <w:rsid w:val="0050786E"/>
    <w:rsid w:val="00507F79"/>
    <w:rsid w:val="005127E9"/>
    <w:rsid w:val="00515D83"/>
    <w:rsid w:val="00533FEC"/>
    <w:rsid w:val="0053540F"/>
    <w:rsid w:val="00550729"/>
    <w:rsid w:val="00570C00"/>
    <w:rsid w:val="00571833"/>
    <w:rsid w:val="005729C2"/>
    <w:rsid w:val="0058028A"/>
    <w:rsid w:val="00587498"/>
    <w:rsid w:val="005B27CD"/>
    <w:rsid w:val="005B3D48"/>
    <w:rsid w:val="005B534F"/>
    <w:rsid w:val="005B5479"/>
    <w:rsid w:val="005B719C"/>
    <w:rsid w:val="005B7616"/>
    <w:rsid w:val="005C0A8D"/>
    <w:rsid w:val="005C3518"/>
    <w:rsid w:val="005C3CB4"/>
    <w:rsid w:val="005C42A9"/>
    <w:rsid w:val="005D560E"/>
    <w:rsid w:val="005D611A"/>
    <w:rsid w:val="005F1307"/>
    <w:rsid w:val="005F25E6"/>
    <w:rsid w:val="005F5E15"/>
    <w:rsid w:val="006006FC"/>
    <w:rsid w:val="00606183"/>
    <w:rsid w:val="00606FB1"/>
    <w:rsid w:val="00613F59"/>
    <w:rsid w:val="00613FEC"/>
    <w:rsid w:val="00623832"/>
    <w:rsid w:val="00625E13"/>
    <w:rsid w:val="006422CE"/>
    <w:rsid w:val="00645015"/>
    <w:rsid w:val="006517A9"/>
    <w:rsid w:val="00657FA8"/>
    <w:rsid w:val="00660724"/>
    <w:rsid w:val="006623F6"/>
    <w:rsid w:val="00663F99"/>
    <w:rsid w:val="0067346C"/>
    <w:rsid w:val="00676EAA"/>
    <w:rsid w:val="00681502"/>
    <w:rsid w:val="006902B9"/>
    <w:rsid w:val="006A4C69"/>
    <w:rsid w:val="006A5464"/>
    <w:rsid w:val="006A6D6F"/>
    <w:rsid w:val="006A73D9"/>
    <w:rsid w:val="006A7FCD"/>
    <w:rsid w:val="006B5ED2"/>
    <w:rsid w:val="006B6948"/>
    <w:rsid w:val="006C19F5"/>
    <w:rsid w:val="006C31F5"/>
    <w:rsid w:val="006C4FDC"/>
    <w:rsid w:val="006D387F"/>
    <w:rsid w:val="006D5034"/>
    <w:rsid w:val="006E4561"/>
    <w:rsid w:val="006E56BD"/>
    <w:rsid w:val="00720B52"/>
    <w:rsid w:val="0072133E"/>
    <w:rsid w:val="00726311"/>
    <w:rsid w:val="007324A8"/>
    <w:rsid w:val="00754DDD"/>
    <w:rsid w:val="00763FCE"/>
    <w:rsid w:val="0077596B"/>
    <w:rsid w:val="00781CBB"/>
    <w:rsid w:val="00791047"/>
    <w:rsid w:val="00791913"/>
    <w:rsid w:val="00791B0D"/>
    <w:rsid w:val="00792D79"/>
    <w:rsid w:val="007960A9"/>
    <w:rsid w:val="007A18EE"/>
    <w:rsid w:val="007A304E"/>
    <w:rsid w:val="007A33B9"/>
    <w:rsid w:val="007A4279"/>
    <w:rsid w:val="007A4EE1"/>
    <w:rsid w:val="007B31DC"/>
    <w:rsid w:val="007B7FAE"/>
    <w:rsid w:val="007D32A3"/>
    <w:rsid w:val="007D66BB"/>
    <w:rsid w:val="007D79A3"/>
    <w:rsid w:val="007E1073"/>
    <w:rsid w:val="007E39B6"/>
    <w:rsid w:val="007E6E29"/>
    <w:rsid w:val="007F6AE0"/>
    <w:rsid w:val="008037CE"/>
    <w:rsid w:val="00803F18"/>
    <w:rsid w:val="00806885"/>
    <w:rsid w:val="00807300"/>
    <w:rsid w:val="00815BAF"/>
    <w:rsid w:val="0082235C"/>
    <w:rsid w:val="00826F90"/>
    <w:rsid w:val="00831465"/>
    <w:rsid w:val="00837461"/>
    <w:rsid w:val="008430D6"/>
    <w:rsid w:val="008610B9"/>
    <w:rsid w:val="00870385"/>
    <w:rsid w:val="00871089"/>
    <w:rsid w:val="00872C7E"/>
    <w:rsid w:val="008778A0"/>
    <w:rsid w:val="0088392F"/>
    <w:rsid w:val="00885ACD"/>
    <w:rsid w:val="00886F0B"/>
    <w:rsid w:val="00895B0B"/>
    <w:rsid w:val="008A671D"/>
    <w:rsid w:val="008B51E9"/>
    <w:rsid w:val="008C3D77"/>
    <w:rsid w:val="008C4976"/>
    <w:rsid w:val="008C7314"/>
    <w:rsid w:val="008D4D7F"/>
    <w:rsid w:val="008D78DB"/>
    <w:rsid w:val="008E3723"/>
    <w:rsid w:val="008F223B"/>
    <w:rsid w:val="00900CE2"/>
    <w:rsid w:val="00904FB8"/>
    <w:rsid w:val="009124E0"/>
    <w:rsid w:val="00913175"/>
    <w:rsid w:val="0091546A"/>
    <w:rsid w:val="0092037E"/>
    <w:rsid w:val="009230EC"/>
    <w:rsid w:val="009242EA"/>
    <w:rsid w:val="00927130"/>
    <w:rsid w:val="00927E91"/>
    <w:rsid w:val="00930AE0"/>
    <w:rsid w:val="00931A22"/>
    <w:rsid w:val="00941AC3"/>
    <w:rsid w:val="00944D91"/>
    <w:rsid w:val="0094726B"/>
    <w:rsid w:val="0095226E"/>
    <w:rsid w:val="00960361"/>
    <w:rsid w:val="00972A8E"/>
    <w:rsid w:val="00976FC0"/>
    <w:rsid w:val="00981941"/>
    <w:rsid w:val="009A3620"/>
    <w:rsid w:val="009A4608"/>
    <w:rsid w:val="009A5464"/>
    <w:rsid w:val="009B403E"/>
    <w:rsid w:val="009B5E01"/>
    <w:rsid w:val="009B612B"/>
    <w:rsid w:val="009B673A"/>
    <w:rsid w:val="009B79E4"/>
    <w:rsid w:val="009B7BFC"/>
    <w:rsid w:val="009C591C"/>
    <w:rsid w:val="009D1536"/>
    <w:rsid w:val="009D27C1"/>
    <w:rsid w:val="009E5652"/>
    <w:rsid w:val="009F0277"/>
    <w:rsid w:val="009F363E"/>
    <w:rsid w:val="00A013D3"/>
    <w:rsid w:val="00A055F0"/>
    <w:rsid w:val="00A069AB"/>
    <w:rsid w:val="00A07CFB"/>
    <w:rsid w:val="00A10BDB"/>
    <w:rsid w:val="00A140EC"/>
    <w:rsid w:val="00A21791"/>
    <w:rsid w:val="00A22A96"/>
    <w:rsid w:val="00A2760D"/>
    <w:rsid w:val="00A278A3"/>
    <w:rsid w:val="00A3299F"/>
    <w:rsid w:val="00A4200E"/>
    <w:rsid w:val="00A43E3C"/>
    <w:rsid w:val="00A517BE"/>
    <w:rsid w:val="00A56929"/>
    <w:rsid w:val="00A60F8D"/>
    <w:rsid w:val="00A725C1"/>
    <w:rsid w:val="00A770AC"/>
    <w:rsid w:val="00A84094"/>
    <w:rsid w:val="00A85034"/>
    <w:rsid w:val="00A92889"/>
    <w:rsid w:val="00A93648"/>
    <w:rsid w:val="00AA5527"/>
    <w:rsid w:val="00AA63A3"/>
    <w:rsid w:val="00AB2626"/>
    <w:rsid w:val="00AB28CF"/>
    <w:rsid w:val="00AB7212"/>
    <w:rsid w:val="00AC52B6"/>
    <w:rsid w:val="00AC583D"/>
    <w:rsid w:val="00AC7DEB"/>
    <w:rsid w:val="00AD03DC"/>
    <w:rsid w:val="00AE32F4"/>
    <w:rsid w:val="00AE36CD"/>
    <w:rsid w:val="00AE43F0"/>
    <w:rsid w:val="00AE4932"/>
    <w:rsid w:val="00AF5AA9"/>
    <w:rsid w:val="00B00A82"/>
    <w:rsid w:val="00B02924"/>
    <w:rsid w:val="00B05D84"/>
    <w:rsid w:val="00B062F7"/>
    <w:rsid w:val="00B07FBA"/>
    <w:rsid w:val="00B249CB"/>
    <w:rsid w:val="00B3075D"/>
    <w:rsid w:val="00B43F48"/>
    <w:rsid w:val="00B4598D"/>
    <w:rsid w:val="00B476CE"/>
    <w:rsid w:val="00B52BBA"/>
    <w:rsid w:val="00B56962"/>
    <w:rsid w:val="00B60BA6"/>
    <w:rsid w:val="00B675C7"/>
    <w:rsid w:val="00B67661"/>
    <w:rsid w:val="00B77550"/>
    <w:rsid w:val="00B823BC"/>
    <w:rsid w:val="00B84928"/>
    <w:rsid w:val="00BC1BF1"/>
    <w:rsid w:val="00BC1D4A"/>
    <w:rsid w:val="00BC4B2F"/>
    <w:rsid w:val="00BC4F0C"/>
    <w:rsid w:val="00BC53D3"/>
    <w:rsid w:val="00BD635D"/>
    <w:rsid w:val="00BE1110"/>
    <w:rsid w:val="00BE7B19"/>
    <w:rsid w:val="00BF374B"/>
    <w:rsid w:val="00BF4558"/>
    <w:rsid w:val="00C00CED"/>
    <w:rsid w:val="00C036E9"/>
    <w:rsid w:val="00C04832"/>
    <w:rsid w:val="00C07318"/>
    <w:rsid w:val="00C166BE"/>
    <w:rsid w:val="00C21DC4"/>
    <w:rsid w:val="00C4391C"/>
    <w:rsid w:val="00C44409"/>
    <w:rsid w:val="00C4578B"/>
    <w:rsid w:val="00C46182"/>
    <w:rsid w:val="00C54C32"/>
    <w:rsid w:val="00C564CB"/>
    <w:rsid w:val="00C65197"/>
    <w:rsid w:val="00C67362"/>
    <w:rsid w:val="00C75BFB"/>
    <w:rsid w:val="00C84953"/>
    <w:rsid w:val="00C87E8C"/>
    <w:rsid w:val="00C90965"/>
    <w:rsid w:val="00C92752"/>
    <w:rsid w:val="00CA4B9D"/>
    <w:rsid w:val="00CA6C48"/>
    <w:rsid w:val="00CA7F14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3C52"/>
    <w:rsid w:val="00CF4914"/>
    <w:rsid w:val="00CF5F77"/>
    <w:rsid w:val="00CF7780"/>
    <w:rsid w:val="00CF7996"/>
    <w:rsid w:val="00D046ED"/>
    <w:rsid w:val="00D13139"/>
    <w:rsid w:val="00D273E2"/>
    <w:rsid w:val="00D320B5"/>
    <w:rsid w:val="00D33FCC"/>
    <w:rsid w:val="00D3445F"/>
    <w:rsid w:val="00D440A2"/>
    <w:rsid w:val="00D47B7E"/>
    <w:rsid w:val="00D5500F"/>
    <w:rsid w:val="00D60BF2"/>
    <w:rsid w:val="00D61E70"/>
    <w:rsid w:val="00D62A3B"/>
    <w:rsid w:val="00D70542"/>
    <w:rsid w:val="00D72255"/>
    <w:rsid w:val="00D762A6"/>
    <w:rsid w:val="00D8208B"/>
    <w:rsid w:val="00D93F36"/>
    <w:rsid w:val="00DA2C64"/>
    <w:rsid w:val="00DB6B93"/>
    <w:rsid w:val="00DB7467"/>
    <w:rsid w:val="00DC1988"/>
    <w:rsid w:val="00DD3D4A"/>
    <w:rsid w:val="00DE033F"/>
    <w:rsid w:val="00DF2D55"/>
    <w:rsid w:val="00DF2FA7"/>
    <w:rsid w:val="00DF7E59"/>
    <w:rsid w:val="00E02D59"/>
    <w:rsid w:val="00E15C7C"/>
    <w:rsid w:val="00E24490"/>
    <w:rsid w:val="00E2727B"/>
    <w:rsid w:val="00E42A1D"/>
    <w:rsid w:val="00E4600C"/>
    <w:rsid w:val="00E51494"/>
    <w:rsid w:val="00E5771B"/>
    <w:rsid w:val="00E63CB2"/>
    <w:rsid w:val="00E705BC"/>
    <w:rsid w:val="00E73B33"/>
    <w:rsid w:val="00E742A8"/>
    <w:rsid w:val="00E805CC"/>
    <w:rsid w:val="00E810E7"/>
    <w:rsid w:val="00E91129"/>
    <w:rsid w:val="00E91796"/>
    <w:rsid w:val="00E93EFF"/>
    <w:rsid w:val="00E9628E"/>
    <w:rsid w:val="00EB0255"/>
    <w:rsid w:val="00EB6A49"/>
    <w:rsid w:val="00EC6AAC"/>
    <w:rsid w:val="00ED0ECB"/>
    <w:rsid w:val="00ED7164"/>
    <w:rsid w:val="00EF3BA7"/>
    <w:rsid w:val="00EF59FF"/>
    <w:rsid w:val="00F04AFD"/>
    <w:rsid w:val="00F14F35"/>
    <w:rsid w:val="00F40709"/>
    <w:rsid w:val="00F54D3C"/>
    <w:rsid w:val="00F5612C"/>
    <w:rsid w:val="00F60251"/>
    <w:rsid w:val="00F634FF"/>
    <w:rsid w:val="00F639B8"/>
    <w:rsid w:val="00F667C0"/>
    <w:rsid w:val="00F720BA"/>
    <w:rsid w:val="00F74361"/>
    <w:rsid w:val="00F8205F"/>
    <w:rsid w:val="00F92FEB"/>
    <w:rsid w:val="00F94089"/>
    <w:rsid w:val="00FA1E0E"/>
    <w:rsid w:val="00FA3712"/>
    <w:rsid w:val="00FB05BD"/>
    <w:rsid w:val="00FB1F3B"/>
    <w:rsid w:val="00FB3520"/>
    <w:rsid w:val="00FC5ECB"/>
    <w:rsid w:val="00FD45A0"/>
    <w:rsid w:val="00FD5D92"/>
    <w:rsid w:val="00FE2DBB"/>
    <w:rsid w:val="00FE32FA"/>
    <w:rsid w:val="00FE6D3F"/>
    <w:rsid w:val="00FF0645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7">
    <w:name w:val="page number"/>
    <w:basedOn w:val="a0"/>
    <w:rsid w:val="0053540F"/>
  </w:style>
  <w:style w:type="paragraph" w:customStyle="1" w:styleId="af8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53540F"/>
    <w:rPr>
      <w:i/>
      <w:iCs/>
    </w:rPr>
  </w:style>
  <w:style w:type="paragraph" w:styleId="afc">
    <w:name w:val="Normal (Web)"/>
    <w:basedOn w:val="a"/>
    <w:semiHidden/>
    <w:unhideWhenUsed/>
    <w:rsid w:val="00DB6B9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7">
    <w:name w:val="page number"/>
    <w:basedOn w:val="a0"/>
    <w:rsid w:val="0053540F"/>
  </w:style>
  <w:style w:type="paragraph" w:customStyle="1" w:styleId="af8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53540F"/>
    <w:rPr>
      <w:i/>
      <w:iCs/>
    </w:rPr>
  </w:style>
  <w:style w:type="paragraph" w:styleId="afc">
    <w:name w:val="Normal (Web)"/>
    <w:basedOn w:val="a"/>
    <w:semiHidden/>
    <w:unhideWhenUsed/>
    <w:rsid w:val="00DB6B9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Sgm-server\&#1072;&#1088;&#1093;&#1080;&#1074;%20&#1086;&#1073;&#1084;&#1077;&#1085;%20&#1076;&#1086;&#1082;&#1091;&#1084;&#1077;&#1085;&#1090;&#1086;&#1074;\&#1054;&#1058;&#1044;&#1045;&#1051;&#1045;&#1053;&#1048;&#1045;%20&#1057;&#1043;&#1052;\&#1044;&#1077;&#1085;&#1080;&#1089;&#1086;&#1074;%20&#1051;.&#1042;\&#1043;&#1086;&#1089;&#1076;&#1086;&#1082;&#1083;&#1072;&#1076;\&#1043;&#1054;&#1057;&#1044;&#1086;&#1082;&#1083;&#1072;&#1076;%20&#1057;&#1043;&#1052;%202021\&#1043;&#1086;&#1088;&#1086;&#1076;\&#1079;&#1072;&#1073;&#1086;&#1083;&#1077;&#1074;&#1072;&#1077;&#1084;&#1086;&#1089;&#1090;&#1100;%20&#1075;&#1086;&#1088;&#1086;&#1076;%20202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Sgm-server\&#1072;&#1088;&#1093;&#1080;&#1074;%20&#1086;&#1073;&#1084;&#1077;&#1085;%20&#1076;&#1086;&#1082;&#1091;&#1084;&#1077;&#1085;&#1090;&#1086;&#1074;\&#1054;&#1058;&#1044;&#1045;&#1051;&#1045;&#1053;&#1048;&#1045;%20&#1057;&#1043;&#1052;\&#1044;&#1077;&#1085;&#1080;&#1089;&#1086;&#1074;%20&#1051;.&#1042;\&#1043;&#1086;&#1089;&#1076;&#1086;&#1082;&#1083;&#1072;&#1076;\&#1043;&#1054;&#1057;&#1044;&#1086;&#1082;&#1083;&#1072;&#1076;%20&#1057;&#1043;&#1052;%202021\&#1043;&#1086;&#1088;&#1086;&#1076;\&#1079;&#1072;&#1073;&#1086;&#1083;&#1077;&#1074;&#1072;&#1077;&#1084;&#1086;&#1089;&#1090;&#1100;%20&#1075;&#1086;&#1088;&#1086;&#1076;%202021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\\Sgm-server\&#1072;&#1088;&#1093;&#1080;&#1074;%20&#1086;&#1073;&#1084;&#1077;&#1085;%20&#1076;&#1086;&#1082;&#1091;&#1084;&#1077;&#1085;&#1090;&#1086;&#1074;\&#1054;&#1058;&#1044;&#1045;&#1051;&#1045;&#1053;&#1048;&#1045;%20&#1057;&#1043;&#1052;\&#1044;&#1077;&#1085;&#1080;&#1089;&#1086;&#1074;%20&#1051;.&#1042;\&#1043;&#1086;&#1089;&#1076;&#1086;&#1082;&#1083;&#1072;&#1076;\&#1043;&#1054;&#1057;&#1044;&#1086;&#1082;&#1083;&#1072;&#1076;%20&#1057;&#1043;&#1052;%202021\&#1043;&#1086;&#1088;&#1086;&#1076;\&#1079;&#1072;&#1073;&#1086;&#1083;&#1077;&#1074;&#1072;&#1077;&#1084;&#1086;&#1089;&#1090;&#1100;%20&#1075;&#1086;&#1088;&#1086;&#1076;%202021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Sgm-server\&#1072;&#1088;&#1093;&#1080;&#1074;%20&#1086;&#1073;&#1084;&#1077;&#1085;%20&#1076;&#1086;&#1082;&#1091;&#1084;&#1077;&#1085;&#1090;&#1086;&#1074;\&#1054;&#1058;&#1044;&#1045;&#1051;&#1045;&#1053;&#1048;&#1045;%20&#1057;&#1043;&#1052;\&#1044;&#1077;&#1085;&#1080;&#1089;&#1086;&#1074;%20&#1051;.&#1042;\&#1043;&#1086;&#1089;&#1076;&#1086;&#1082;&#1083;&#1072;&#1076;\&#1043;&#1054;&#1057;&#1044;&#1086;&#1082;&#1083;&#1072;&#1076;%20&#1057;&#1043;&#1052;%202021\&#1043;&#1086;&#1088;&#1086;&#1076;\&#1079;&#1072;&#1073;&#1086;&#1083;&#1077;&#1074;&#1072;&#1077;&#1084;&#1086;&#1089;&#1090;&#1100;%20&#1075;&#1086;&#1088;&#1086;&#1076;%202021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\\Sgm-server\&#1072;&#1088;&#1093;&#1080;&#1074;%20&#1086;&#1073;&#1084;&#1077;&#1085;%20&#1076;&#1086;&#1082;&#1091;&#1084;&#1077;&#1085;&#1090;&#1086;&#1074;\&#1054;&#1058;&#1044;&#1045;&#1051;&#1045;&#1053;&#1048;&#1045;%20&#1057;&#1043;&#1052;\&#1044;&#1077;&#1085;&#1080;&#1089;&#1086;&#1074;%20&#1051;.&#1042;\&#1043;&#1086;&#1089;&#1076;&#1086;&#1082;&#1083;&#1072;&#1076;\&#1043;&#1054;&#1057;&#1044;&#1086;&#1082;&#1083;&#1072;&#1076;%20&#1057;&#1043;&#1052;%202021\&#1043;&#1086;&#1088;&#1086;&#1076;\&#1079;&#1072;&#1073;&#1086;&#1083;&#1077;&#1074;&#1072;&#1077;&#1084;&#1086;&#1089;&#1090;&#1100;%20&#1075;&#1086;&#1088;&#1086;&#1076;%202021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\\Sgm-server\&#1072;&#1088;&#1093;&#1080;&#1074;%20&#1086;&#1073;&#1084;&#1077;&#1085;%20&#1076;&#1086;&#1082;&#1091;&#1084;&#1077;&#1085;&#1090;&#1086;&#1074;\&#1054;&#1058;&#1044;&#1045;&#1051;&#1045;&#1053;&#1048;&#1045;%20&#1057;&#1043;&#1052;\&#1044;&#1077;&#1085;&#1080;&#1089;&#1086;&#1074;%20&#1051;.&#1042;\&#1043;&#1086;&#1089;&#1076;&#1086;&#1082;&#1083;&#1072;&#1076;\&#1043;&#1054;&#1057;&#1044;&#1086;&#1082;&#1083;&#1072;&#1076;%20&#1057;&#1043;&#1052;%202021\&#1043;&#1086;&#1088;&#1086;&#1076;\&#1079;&#1072;&#1073;&#1086;&#1083;&#1077;&#1074;&#1072;&#1077;&#1084;&#1086;&#1089;&#1090;&#1100;%20&#1075;&#1086;&#1088;&#1086;&#1076;%202021.xlsx" TargetMode="External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 b="1" i="1" baseline="0">
                <a:effectLst/>
              </a:rPr>
              <a:t>Уровень общей заболеваемости по приоритетным направлениям в сравнении по годам (2019-2021) в г. Нефтеюганске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36804390651852"/>
          <c:y val="1.7880773885300266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Лист1!$A$46</c:f>
              <c:strCache>
                <c:ptCount val="1"/>
                <c:pt idx="0">
                  <c:v>Болезни мочеполовой системы</c:v>
                </c:pt>
              </c:strCache>
            </c:strRef>
          </c:tx>
          <c:spPr>
            <a:pattFill prst="smGrid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Pt>
            <c:idx val="0"/>
            <c:invertIfNegative val="0"/>
            <c:bubble3D val="0"/>
            <c:spPr>
              <a:pattFill prst="smGrid">
                <a:fgClr>
                  <a:schemeClr val="tx1"/>
                </a:fgClr>
                <a:bgClr>
                  <a:schemeClr val="bg1"/>
                </a:bgClr>
              </a:patt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79A-4105-A25E-3CE32D38042F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Лист1!$B$45:$D$45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Лист1!$B$46:$D$46</c:f>
              <c:numCache>
                <c:formatCode>0.0</c:formatCode>
                <c:ptCount val="3"/>
                <c:pt idx="0">
                  <c:v>114.8</c:v>
                </c:pt>
                <c:pt idx="1">
                  <c:v>82.6</c:v>
                </c:pt>
                <c:pt idx="2">
                  <c:v>87.2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79A-4105-A25E-3CE32D38042F}"/>
            </c:ext>
          </c:extLst>
        </c:ser>
        <c:ser>
          <c:idx val="1"/>
          <c:order val="1"/>
          <c:tx>
            <c:strRef>
              <c:f>Лист1!$A$47</c:f>
              <c:strCache>
                <c:ptCount val="1"/>
                <c:pt idx="0">
                  <c:v>Болезни системы кровообращения</c:v>
                </c:pt>
              </c:strCache>
            </c:strRef>
          </c:tx>
          <c:spPr>
            <a:pattFill prst="lgCheck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Лист1!$B$45:$D$45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Лист1!$B$47:$D$47</c:f>
              <c:numCache>
                <c:formatCode>0.0</c:formatCode>
                <c:ptCount val="3"/>
                <c:pt idx="0">
                  <c:v>135</c:v>
                </c:pt>
                <c:pt idx="1">
                  <c:v>122.5</c:v>
                </c:pt>
                <c:pt idx="2">
                  <c:v>136.9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9A-4105-A25E-3CE32D38042F}"/>
            </c:ext>
          </c:extLst>
        </c:ser>
        <c:ser>
          <c:idx val="2"/>
          <c:order val="2"/>
          <c:tx>
            <c:strRef>
              <c:f>Лист1!$A$48</c:f>
              <c:strCache>
                <c:ptCount val="1"/>
                <c:pt idx="0">
                  <c:v>Болезни органов дыхания</c:v>
                </c:pt>
              </c:strCache>
            </c:strRef>
          </c:tx>
          <c:spPr>
            <a:pattFill prst="pct50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Лист1!$B$45:$D$45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Лист1!$B$48:$D$48</c:f>
              <c:numCache>
                <c:formatCode>0.0</c:formatCode>
                <c:ptCount val="3"/>
                <c:pt idx="0">
                  <c:v>477.2</c:v>
                </c:pt>
                <c:pt idx="1">
                  <c:v>571.20000000000005</c:v>
                </c:pt>
                <c:pt idx="2">
                  <c:v>707.8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79A-4105-A25E-3CE32D38042F}"/>
            </c:ext>
          </c:extLst>
        </c:ser>
        <c:ser>
          <c:idx val="3"/>
          <c:order val="3"/>
          <c:tx>
            <c:strRef>
              <c:f>Лист1!$A$49</c:f>
              <c:strCache>
                <c:ptCount val="1"/>
                <c:pt idx="0">
                  <c:v>Болезни костно-мышечной системы</c:v>
                </c:pt>
              </c:strCache>
            </c:strRef>
          </c:tx>
          <c:spPr>
            <a:pattFill prst="wdUp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Лист1!$B$45:$D$45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Лист1!$B$49:$D$49</c:f>
              <c:numCache>
                <c:formatCode>0.0</c:formatCode>
                <c:ptCount val="3"/>
                <c:pt idx="0">
                  <c:v>176</c:v>
                </c:pt>
                <c:pt idx="1">
                  <c:v>157.1</c:v>
                </c:pt>
                <c:pt idx="2">
                  <c:v>165.5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79A-4105-A25E-3CE32D38042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1110912"/>
        <c:axId val="82440576"/>
      </c:barChart>
      <c:catAx>
        <c:axId val="81110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82440576"/>
        <c:crosses val="autoZero"/>
        <c:auto val="1"/>
        <c:lblAlgn val="ctr"/>
        <c:lblOffset val="100"/>
        <c:noMultiLvlLbl val="0"/>
      </c:catAx>
      <c:valAx>
        <c:axId val="82440576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8111091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Динамика показателей заболеваемости по возрастным группам за период с 2019 по 2021 гг.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0.12396362264317788"/>
          <c:y val="2.3809770953698725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Лист1!$A$30</c:f>
              <c:strCache>
                <c:ptCount val="1"/>
                <c:pt idx="0">
                  <c:v>Дети 0-14 лет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Лист1!$B$29:$D$29</c:f>
              <c:strCache>
                <c:ptCount val="3"/>
                <c:pt idx="0">
                  <c:v>2019г</c:v>
                </c:pt>
                <c:pt idx="1">
                  <c:v>2020г</c:v>
                </c:pt>
                <c:pt idx="2">
                  <c:v>2021г</c:v>
                </c:pt>
              </c:strCache>
            </c:strRef>
          </c:cat>
          <c:val>
            <c:numRef>
              <c:f>Лист1!$B$30:$D$30</c:f>
              <c:numCache>
                <c:formatCode>0.0</c:formatCode>
                <c:ptCount val="3"/>
                <c:pt idx="0" formatCode="General">
                  <c:v>2568.5</c:v>
                </c:pt>
                <c:pt idx="1">
                  <c:v>2774.5831417944755</c:v>
                </c:pt>
                <c:pt idx="2">
                  <c:v>3809.4043620594362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F5F-4537-A2F5-0B00CAA65EE1}"/>
            </c:ext>
          </c:extLst>
        </c:ser>
        <c:ser>
          <c:idx val="1"/>
          <c:order val="1"/>
          <c:tx>
            <c:strRef>
              <c:f>Лист1!$A$31</c:f>
              <c:strCache>
                <c:ptCount val="1"/>
                <c:pt idx="0">
                  <c:v>Подростки 15-17 лет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Лист1!$B$29:$D$29</c:f>
              <c:strCache>
                <c:ptCount val="3"/>
                <c:pt idx="0">
                  <c:v>2019г</c:v>
                </c:pt>
                <c:pt idx="1">
                  <c:v>2020г</c:v>
                </c:pt>
                <c:pt idx="2">
                  <c:v>2021г</c:v>
                </c:pt>
              </c:strCache>
            </c:strRef>
          </c:cat>
          <c:val>
            <c:numRef>
              <c:f>Лист1!$B$31:$D$31</c:f>
              <c:numCache>
                <c:formatCode>0.0</c:formatCode>
                <c:ptCount val="3"/>
                <c:pt idx="0" formatCode="General">
                  <c:v>1422.6</c:v>
                </c:pt>
                <c:pt idx="1">
                  <c:v>2358.42754367934</c:v>
                </c:pt>
                <c:pt idx="2">
                  <c:v>3230.1001581444384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F5F-4537-A2F5-0B00CAA65EE1}"/>
            </c:ext>
          </c:extLst>
        </c:ser>
        <c:ser>
          <c:idx val="2"/>
          <c:order val="2"/>
          <c:tx>
            <c:strRef>
              <c:f>Лист1!$A$32</c:f>
              <c:strCache>
                <c:ptCount val="1"/>
                <c:pt idx="0">
                  <c:v>Взрослые 18 лет и старше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Лист1!$B$29:$D$29</c:f>
              <c:strCache>
                <c:ptCount val="3"/>
                <c:pt idx="0">
                  <c:v>2019г</c:v>
                </c:pt>
                <c:pt idx="1">
                  <c:v>2020г</c:v>
                </c:pt>
                <c:pt idx="2">
                  <c:v>2021г</c:v>
                </c:pt>
              </c:strCache>
            </c:strRef>
          </c:cat>
          <c:val>
            <c:numRef>
              <c:f>Лист1!$B$32:$D$32</c:f>
              <c:numCache>
                <c:formatCode>0.0</c:formatCode>
                <c:ptCount val="3"/>
                <c:pt idx="0" formatCode="General">
                  <c:v>1286.5</c:v>
                </c:pt>
                <c:pt idx="1">
                  <c:v>1139.07727958289</c:v>
                </c:pt>
                <c:pt idx="2">
                  <c:v>1155.1377097532784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F5F-4537-A2F5-0B00CAA65EE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8710528"/>
        <c:axId val="88724992"/>
      </c:lineChart>
      <c:catAx>
        <c:axId val="887105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88724992"/>
        <c:crosses val="autoZero"/>
        <c:auto val="1"/>
        <c:lblAlgn val="ctr"/>
        <c:lblOffset val="100"/>
        <c:noMultiLvlLbl val="0"/>
      </c:catAx>
      <c:valAx>
        <c:axId val="887249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887105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Структура общей заболеваемости (общая)  за 2021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Лист1!$F$8:$F$26</c:f>
              <c:numCache>
                <c:formatCode>0.0</c:formatCode>
                <c:ptCount val="19"/>
                <c:pt idx="0">
                  <c:v>79.148749520251272</c:v>
                </c:pt>
                <c:pt idx="1">
                  <c:v>39.351144739212508</c:v>
                </c:pt>
                <c:pt idx="2">
                  <c:v>8.0597786498108412</c:v>
                </c:pt>
                <c:pt idx="3">
                  <c:v>79.587376929764787</c:v>
                </c:pt>
                <c:pt idx="4">
                  <c:v>17.294452146532887</c:v>
                </c:pt>
                <c:pt idx="5">
                  <c:v>50.78678791581487</c:v>
                </c:pt>
                <c:pt idx="6">
                  <c:v>83.535023615386422</c:v>
                </c:pt>
                <c:pt idx="7">
                  <c:v>24.641461255884266</c:v>
                </c:pt>
                <c:pt idx="8">
                  <c:v>136.90658019440593</c:v>
                </c:pt>
                <c:pt idx="9">
                  <c:v>707.79581894087141</c:v>
                </c:pt>
                <c:pt idx="10">
                  <c:v>82.399291930038927</c:v>
                </c:pt>
                <c:pt idx="11">
                  <c:v>57.468023278583232</c:v>
                </c:pt>
                <c:pt idx="12">
                  <c:v>165.51918603285006</c:v>
                </c:pt>
                <c:pt idx="13">
                  <c:v>87.247691331625816</c:v>
                </c:pt>
                <c:pt idx="14">
                  <c:v>10.79336732695757</c:v>
                </c:pt>
                <c:pt idx="15">
                  <c:v>4.3001151396949977</c:v>
                </c:pt>
                <c:pt idx="16">
                  <c:v>11.568797925918963</c:v>
                </c:pt>
                <c:pt idx="17">
                  <c:v>0</c:v>
                </c:pt>
                <c:pt idx="18">
                  <c:v>59.394850827517601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A38-4AE2-A0BC-74A0F1BA6C8E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1826048"/>
        <c:axId val="91833472"/>
      </c:lineChart>
      <c:catAx>
        <c:axId val="91826048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91833472"/>
        <c:crosses val="autoZero"/>
        <c:auto val="1"/>
        <c:lblAlgn val="ctr"/>
        <c:lblOffset val="100"/>
        <c:noMultiLvlLbl val="0"/>
      </c:catAx>
      <c:valAx>
        <c:axId val="91833472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918260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/>
            </a:pPr>
            <a:r>
              <a:rPr lang="ru-RU" sz="1100" b="1" i="0" baseline="0">
                <a:effectLst/>
              </a:rPr>
              <a:t>Структура общей заболеваемости (дети)  за 2021 год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2349887243552105"/>
          <c:y val="0.13154767418778535"/>
          <c:w val="0.77031377772136567"/>
          <c:h val="0.42103839961181322"/>
        </c:manualLayout>
      </c:layout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Лист1!$G$8:$G$26</c:f>
              <c:numCache>
                <c:formatCode>0.0</c:formatCode>
                <c:ptCount val="19"/>
                <c:pt idx="0">
                  <c:v>128.9485991241869</c:v>
                </c:pt>
                <c:pt idx="1">
                  <c:v>8.5030398367416353</c:v>
                </c:pt>
                <c:pt idx="2">
                  <c:v>12.371922962459079</c:v>
                </c:pt>
                <c:pt idx="3">
                  <c:v>29.16542664002381</c:v>
                </c:pt>
                <c:pt idx="4">
                  <c:v>22.107903575528251</c:v>
                </c:pt>
                <c:pt idx="5">
                  <c:v>144.12652523277072</c:v>
                </c:pt>
                <c:pt idx="6">
                  <c:v>203.3076824964925</c:v>
                </c:pt>
                <c:pt idx="7">
                  <c:v>48.382296671059905</c:v>
                </c:pt>
                <c:pt idx="8">
                  <c:v>7.8227966498023047</c:v>
                </c:pt>
                <c:pt idx="9">
                  <c:v>2661.8766208919687</c:v>
                </c:pt>
                <c:pt idx="10">
                  <c:v>133.32766464010885</c:v>
                </c:pt>
                <c:pt idx="11">
                  <c:v>126.73780876663407</c:v>
                </c:pt>
                <c:pt idx="12">
                  <c:v>70.787806640874109</c:v>
                </c:pt>
                <c:pt idx="13">
                  <c:v>50.167935036775646</c:v>
                </c:pt>
                <c:pt idx="14">
                  <c:v>0</c:v>
                </c:pt>
                <c:pt idx="15">
                  <c:v>23.34084435185579</c:v>
                </c:pt>
                <c:pt idx="16">
                  <c:v>53.99430296330938</c:v>
                </c:pt>
                <c:pt idx="17">
                  <c:v>0</c:v>
                </c:pt>
                <c:pt idx="18">
                  <c:v>84.43518557884444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8BE-4FDF-94D3-C9E1573C012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1847680"/>
        <c:axId val="104272256"/>
      </c:lineChart>
      <c:catAx>
        <c:axId val="91847680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04272256"/>
        <c:crosses val="autoZero"/>
        <c:auto val="1"/>
        <c:lblAlgn val="ctr"/>
        <c:lblOffset val="100"/>
        <c:noMultiLvlLbl val="0"/>
      </c:catAx>
      <c:valAx>
        <c:axId val="104272256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9184768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ru-RU" sz="1200" b="1" i="0" baseline="0">
                <a:effectLst/>
              </a:rPr>
              <a:t>Структура общей заболеваемости (подростки)  за 2021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2788011374093414"/>
          <c:y val="0.1120580397511745"/>
          <c:w val="0.75243308813851384"/>
          <c:h val="0.45178484309459516"/>
        </c:manualLayout>
      </c:layout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Лист1!$H$8:$H$26</c:f>
              <c:numCache>
                <c:formatCode>0.0</c:formatCode>
                <c:ptCount val="19"/>
                <c:pt idx="0">
                  <c:v>36.636794939377964</c:v>
                </c:pt>
                <c:pt idx="1">
                  <c:v>12.915129151291513</c:v>
                </c:pt>
                <c:pt idx="2">
                  <c:v>24.248813916710596</c:v>
                </c:pt>
                <c:pt idx="3">
                  <c:v>110.70110701107011</c:v>
                </c:pt>
                <c:pt idx="4">
                  <c:v>34.001054296257252</c:v>
                </c:pt>
                <c:pt idx="5">
                  <c:v>148.9193463363205</c:v>
                </c:pt>
                <c:pt idx="6">
                  <c:v>191.61834475487612</c:v>
                </c:pt>
                <c:pt idx="7">
                  <c:v>38.481813389562468</c:v>
                </c:pt>
                <c:pt idx="8">
                  <c:v>28.993147074327887</c:v>
                </c:pt>
                <c:pt idx="9">
                  <c:v>1727.2008434370057</c:v>
                </c:pt>
                <c:pt idx="10">
                  <c:v>141.27569847127043</c:v>
                </c:pt>
                <c:pt idx="11">
                  <c:v>155.5086979441223</c:v>
                </c:pt>
                <c:pt idx="12">
                  <c:v>172.11386399578282</c:v>
                </c:pt>
                <c:pt idx="13">
                  <c:v>164.99736425935689</c:v>
                </c:pt>
                <c:pt idx="14">
                  <c:v>1.5814443858724301</c:v>
                </c:pt>
                <c:pt idx="15">
                  <c:v>0</c:v>
                </c:pt>
                <c:pt idx="16">
                  <c:v>29.256721138639957</c:v>
                </c:pt>
                <c:pt idx="17">
                  <c:v>0</c:v>
                </c:pt>
                <c:pt idx="18">
                  <c:v>211.64997364259358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806-49D5-90B7-4362DE94C2B7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364352"/>
        <c:axId val="111373312"/>
      </c:lineChart>
      <c:catAx>
        <c:axId val="111364352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11373312"/>
        <c:crosses val="autoZero"/>
        <c:auto val="1"/>
        <c:lblAlgn val="ctr"/>
        <c:lblOffset val="100"/>
        <c:noMultiLvlLbl val="0"/>
      </c:catAx>
      <c:valAx>
        <c:axId val="111373312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1136435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Структура общей заболеваемости (взрослые)  за 2021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Лист1!$A$8:$A$26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Лист1!$I$8:$I$26</c:f>
              <c:numCache>
                <c:formatCode>0.0</c:formatCode>
                <c:ptCount val="19"/>
                <c:pt idx="0">
                  <c:v>69.084060743752246</c:v>
                </c:pt>
                <c:pt idx="1">
                  <c:v>47.580613017657143</c:v>
                </c:pt>
                <c:pt idx="2">
                  <c:v>6.4370839810275422</c:v>
                </c:pt>
                <c:pt idx="3">
                  <c:v>90.228785523536217</c:v>
                </c:pt>
                <c:pt idx="4">
                  <c:v>15.534696480529316</c:v>
                </c:pt>
                <c:pt idx="5">
                  <c:v>25.200286978357049</c:v>
                </c:pt>
                <c:pt idx="6">
                  <c:v>51.377097532783289</c:v>
                </c:pt>
                <c:pt idx="7">
                  <c:v>18.553947945314679</c:v>
                </c:pt>
                <c:pt idx="8">
                  <c:v>171.24038423213361</c:v>
                </c:pt>
                <c:pt idx="9">
                  <c:v>211.26788632468413</c:v>
                </c:pt>
                <c:pt idx="10">
                  <c:v>68.237076009406508</c:v>
                </c:pt>
                <c:pt idx="11">
                  <c:v>37.526405994659015</c:v>
                </c:pt>
                <c:pt idx="12">
                  <c:v>187.47259755271236</c:v>
                </c:pt>
                <c:pt idx="13">
                  <c:v>92.998923831161065</c:v>
                </c:pt>
                <c:pt idx="14">
                  <c:v>13.671330064968711</c:v>
                </c:pt>
                <c:pt idx="15">
                  <c:v>0</c:v>
                </c:pt>
                <c:pt idx="16">
                  <c:v>0.95659452349635299</c:v>
                </c:pt>
                <c:pt idx="17">
                  <c:v>0</c:v>
                </c:pt>
                <c:pt idx="18">
                  <c:v>47.769939017099126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F08-4B39-9DF0-EFD96F7DC1E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7678848"/>
        <c:axId val="117681536"/>
      </c:lineChart>
      <c:catAx>
        <c:axId val="117678848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17681536"/>
        <c:crosses val="autoZero"/>
        <c:auto val="1"/>
        <c:lblAlgn val="ctr"/>
        <c:lblOffset val="100"/>
        <c:noMultiLvlLbl val="0"/>
      </c:catAx>
      <c:valAx>
        <c:axId val="117681536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176788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C92E-780A-4A9E-AFDF-13F3427C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2018-02-03T10:09:00Z</cp:lastPrinted>
  <dcterms:created xsi:type="dcterms:W3CDTF">2022-02-11T09:17:00Z</dcterms:created>
  <dcterms:modified xsi:type="dcterms:W3CDTF">2022-03-03T12:33:00Z</dcterms:modified>
</cp:coreProperties>
</file>