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E0" w:rsidRDefault="0032192C" w:rsidP="003219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655AE9">
        <w:rPr>
          <w:rFonts w:ascii="Times New Roman" w:eastAsia="Calibri" w:hAnsi="Times New Roman" w:cs="Times New Roman"/>
          <w:b/>
          <w:sz w:val="28"/>
          <w:szCs w:val="26"/>
        </w:rPr>
        <w:t xml:space="preserve">Пояснительная записка </w:t>
      </w:r>
    </w:p>
    <w:p w:rsidR="0032192C" w:rsidRPr="001F59E0" w:rsidRDefault="0032192C" w:rsidP="0032192C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1F59E0">
        <w:rPr>
          <w:rFonts w:ascii="Times New Roman" w:eastAsia="Calibri" w:hAnsi="Times New Roman" w:cs="Times New Roman"/>
          <w:sz w:val="28"/>
          <w:szCs w:val="26"/>
        </w:rPr>
        <w:t xml:space="preserve">к проекту решения Думы </w:t>
      </w:r>
      <w:r w:rsidR="001F59E0" w:rsidRPr="001F59E0">
        <w:rPr>
          <w:rFonts w:ascii="Times New Roman" w:eastAsia="Calibri" w:hAnsi="Times New Roman" w:cs="Times New Roman"/>
          <w:sz w:val="28"/>
          <w:szCs w:val="26"/>
        </w:rPr>
        <w:t>города Нефтеюганска</w:t>
      </w:r>
    </w:p>
    <w:p w:rsidR="00F9728E" w:rsidRPr="00F9728E" w:rsidRDefault="00D72B39" w:rsidP="00F9728E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728E">
        <w:rPr>
          <w:rFonts w:ascii="Times New Roman" w:hAnsi="Times New Roman" w:cs="Times New Roman"/>
          <w:sz w:val="28"/>
          <w:szCs w:val="28"/>
        </w:rPr>
        <w:t>«</w:t>
      </w:r>
      <w:r w:rsidR="00F9728E" w:rsidRPr="00F9728E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выдвижения, внесения, обсуждения, </w:t>
      </w:r>
    </w:p>
    <w:p w:rsidR="00F9728E" w:rsidRPr="00F9728E" w:rsidRDefault="00F9728E" w:rsidP="00F9728E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728E">
        <w:rPr>
          <w:rFonts w:ascii="Times New Roman" w:hAnsi="Times New Roman" w:cs="Times New Roman"/>
          <w:sz w:val="28"/>
          <w:szCs w:val="28"/>
        </w:rPr>
        <w:t xml:space="preserve">рассмотрения инициативных проектов, а также проведения их </w:t>
      </w:r>
    </w:p>
    <w:p w:rsidR="00D72B39" w:rsidRPr="00F9728E" w:rsidRDefault="00F9728E" w:rsidP="00F972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728E">
        <w:rPr>
          <w:rFonts w:ascii="Times New Roman" w:hAnsi="Times New Roman" w:cs="Times New Roman"/>
          <w:sz w:val="28"/>
          <w:szCs w:val="28"/>
        </w:rPr>
        <w:t>конкурсного отбора в городе Нефтеюганске</w:t>
      </w:r>
      <w:r w:rsidR="00D72B39" w:rsidRPr="00F9728E">
        <w:rPr>
          <w:rFonts w:ascii="Times New Roman" w:hAnsi="Times New Roman" w:cs="Times New Roman"/>
          <w:sz w:val="28"/>
          <w:szCs w:val="28"/>
        </w:rPr>
        <w:t>»</w:t>
      </w:r>
    </w:p>
    <w:p w:rsidR="0032192C" w:rsidRPr="00FA7464" w:rsidRDefault="0032192C" w:rsidP="00321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DB0" w:rsidRDefault="00010DB0" w:rsidP="00321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933" w:rsidRPr="00CC1609" w:rsidRDefault="00D72B39" w:rsidP="008074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Принятие настоящего проекта обусловлено необходимостью </w:t>
      </w:r>
      <w:r w:rsidR="00CC1609">
        <w:rPr>
          <w:rFonts w:ascii="Times New Roman" w:eastAsia="Calibri" w:hAnsi="Times New Roman" w:cs="Times New Roman"/>
          <w:iCs/>
          <w:sz w:val="28"/>
          <w:szCs w:val="28"/>
        </w:rPr>
        <w:t xml:space="preserve">приведения положений </w:t>
      </w:r>
      <w:r w:rsidR="00CC1609" w:rsidRPr="00F9728E">
        <w:rPr>
          <w:rFonts w:ascii="Times New Roman" w:hAnsi="Times New Roman" w:cs="Times New Roman"/>
          <w:sz w:val="28"/>
          <w:szCs w:val="28"/>
        </w:rPr>
        <w:t>Поряд</w:t>
      </w:r>
      <w:r w:rsidR="00CC1609">
        <w:rPr>
          <w:rFonts w:ascii="Times New Roman" w:hAnsi="Times New Roman" w:cs="Times New Roman"/>
          <w:sz w:val="28"/>
          <w:szCs w:val="28"/>
        </w:rPr>
        <w:t>ка</w:t>
      </w:r>
      <w:r w:rsidR="00CC1609" w:rsidRPr="00F9728E">
        <w:rPr>
          <w:rFonts w:ascii="Times New Roman" w:hAnsi="Times New Roman" w:cs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в городе Нефтеюганске</w:t>
      </w:r>
      <w:r w:rsidR="00CC160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A78F5">
        <w:rPr>
          <w:rFonts w:ascii="Times New Roman" w:eastAsia="Calibri" w:hAnsi="Times New Roman" w:cs="Times New Roman"/>
          <w:iCs/>
          <w:sz w:val="28"/>
          <w:szCs w:val="28"/>
        </w:rPr>
        <w:t xml:space="preserve">(далее – Порядок) </w:t>
      </w:r>
      <w:r w:rsidR="00CC1609">
        <w:rPr>
          <w:rFonts w:ascii="Times New Roman" w:eastAsia="Calibri" w:hAnsi="Times New Roman" w:cs="Times New Roman"/>
          <w:iCs/>
          <w:sz w:val="28"/>
          <w:szCs w:val="28"/>
        </w:rPr>
        <w:t>в соответствие с Уставом города Нефтеюганска</w:t>
      </w:r>
      <w:r w:rsidR="00001844">
        <w:rPr>
          <w:rFonts w:ascii="Times New Roman" w:eastAsia="Calibri" w:hAnsi="Times New Roman" w:cs="Times New Roman"/>
          <w:iCs/>
          <w:sz w:val="28"/>
          <w:szCs w:val="28"/>
        </w:rPr>
        <w:t>, а также конкретизацией территории муниципального образования город Нефтеюганск, на которой могут реализовываться инициативные проекты</w:t>
      </w:r>
      <w:r w:rsidR="00E72A70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001844">
        <w:rPr>
          <w:rFonts w:ascii="Times New Roman" w:eastAsia="Calibri" w:hAnsi="Times New Roman" w:cs="Times New Roman"/>
          <w:iCs/>
          <w:sz w:val="28"/>
          <w:szCs w:val="28"/>
        </w:rPr>
        <w:t xml:space="preserve"> исключение</w:t>
      </w:r>
      <w:r w:rsidR="00EB2E9B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001844">
        <w:rPr>
          <w:rFonts w:ascii="Times New Roman" w:eastAsia="Calibri" w:hAnsi="Times New Roman" w:cs="Times New Roman"/>
          <w:iCs/>
          <w:sz w:val="28"/>
          <w:szCs w:val="28"/>
        </w:rPr>
        <w:t xml:space="preserve"> и</w:t>
      </w:r>
      <w:r w:rsidR="00EB2E9B">
        <w:rPr>
          <w:rFonts w:ascii="Times New Roman" w:eastAsia="Calibri" w:hAnsi="Times New Roman" w:cs="Times New Roman"/>
          <w:iCs/>
          <w:sz w:val="28"/>
          <w:szCs w:val="28"/>
        </w:rPr>
        <w:t xml:space="preserve">з Порядка </w:t>
      </w:r>
      <w:r w:rsidR="00EB2E9B" w:rsidRPr="0085039C">
        <w:rPr>
          <w:rFonts w:ascii="Times New Roman" w:eastAsia="Calibri" w:hAnsi="Times New Roman" w:cs="Times New Roman"/>
          <w:iCs/>
          <w:sz w:val="28"/>
          <w:szCs w:val="28"/>
        </w:rPr>
        <w:t>дублирующих положений</w:t>
      </w:r>
      <w:r w:rsidR="00E72A70" w:rsidRPr="0085039C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85039C" w:rsidRPr="0085039C">
        <w:rPr>
          <w:rFonts w:ascii="Times New Roman" w:eastAsia="Calibri" w:hAnsi="Times New Roman" w:cs="Times New Roman"/>
          <w:iCs/>
          <w:sz w:val="28"/>
          <w:szCs w:val="28"/>
        </w:rPr>
        <w:t>пересмотром критериев оценки инициативных проектов</w:t>
      </w:r>
      <w:r w:rsidR="00EB2E9B" w:rsidRPr="0085039C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="00CC160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807483" w:rsidRPr="00807483" w:rsidRDefault="00807483" w:rsidP="00807483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7483">
        <w:rPr>
          <w:rFonts w:ascii="Times New Roman" w:eastAsia="Calibri" w:hAnsi="Times New Roman" w:cs="Times New Roman"/>
          <w:iCs/>
          <w:sz w:val="28"/>
          <w:szCs w:val="28"/>
        </w:rPr>
        <w:t xml:space="preserve">1.В соответствии с частью 1 статьи 26.1 Федерального закона от 06.10.2003 № 131-ФЗ «Об общих принципах организации местного самоуправления в Российской Федерации»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 </w:t>
      </w:r>
    </w:p>
    <w:p w:rsidR="00807483" w:rsidRPr="00807483" w:rsidRDefault="00807483" w:rsidP="00807483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7483">
        <w:rPr>
          <w:rFonts w:ascii="Times New Roman" w:eastAsia="Calibri" w:hAnsi="Times New Roman" w:cs="Times New Roman"/>
          <w:iCs/>
          <w:sz w:val="28"/>
          <w:szCs w:val="28"/>
        </w:rPr>
        <w:t xml:space="preserve">В пункте 1.3. Порядка установлено, что территории муниципального образования город Нефтеюганск, на которой могут реализовываться инициативные проекты, определяется в соответствии с генеральным планом города Нефтеюганска в границах земель общего пользования. Данное условие ограничивает жителей, собственников общедомового имущества вносить инициативные проекты на рассмотрение, в связи с чем следует внести изменения в части установления порядка определения части территории муниципального образования, а именно пункт 1.3. Порядка изложить в следующей редакции: </w:t>
      </w:r>
    </w:p>
    <w:p w:rsidR="00807483" w:rsidRPr="00807483" w:rsidRDefault="00807483" w:rsidP="00807483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7483">
        <w:rPr>
          <w:rFonts w:ascii="Times New Roman" w:eastAsia="Calibri" w:hAnsi="Times New Roman" w:cs="Times New Roman"/>
          <w:iCs/>
          <w:sz w:val="28"/>
          <w:szCs w:val="28"/>
        </w:rPr>
        <w:t xml:space="preserve"> «1.3. Инициативные проекты могут реализовываться в границах муниципального образования город Нефтеюганск в пределах следующих территорий: </w:t>
      </w:r>
    </w:p>
    <w:p w:rsidR="00807483" w:rsidRPr="00807483" w:rsidRDefault="001568C8" w:rsidP="00807483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1)</w:t>
      </w:r>
      <w:r w:rsidR="00807483" w:rsidRPr="00807483">
        <w:rPr>
          <w:rFonts w:ascii="Times New Roman" w:eastAsia="Calibri" w:hAnsi="Times New Roman" w:cs="Times New Roman"/>
          <w:iCs/>
          <w:sz w:val="28"/>
          <w:szCs w:val="28"/>
        </w:rPr>
        <w:t xml:space="preserve">в границах территорий территориального общественного самоуправления; </w:t>
      </w:r>
    </w:p>
    <w:p w:rsidR="00807483" w:rsidRPr="00807483" w:rsidRDefault="001568C8" w:rsidP="00807483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2)</w:t>
      </w:r>
      <w:r w:rsidR="00807483" w:rsidRPr="00807483">
        <w:rPr>
          <w:rFonts w:ascii="Times New Roman" w:eastAsia="Calibri" w:hAnsi="Times New Roman" w:cs="Times New Roman"/>
          <w:iCs/>
          <w:sz w:val="28"/>
          <w:szCs w:val="28"/>
        </w:rPr>
        <w:t xml:space="preserve">группы многоквартирных домов и (или) жилых домов; </w:t>
      </w:r>
    </w:p>
    <w:p w:rsidR="00807483" w:rsidRPr="00807483" w:rsidRDefault="001568C8" w:rsidP="00807483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3)</w:t>
      </w:r>
      <w:r w:rsidR="00807483" w:rsidRPr="00807483">
        <w:rPr>
          <w:rFonts w:ascii="Times New Roman" w:eastAsia="Calibri" w:hAnsi="Times New Roman" w:cs="Times New Roman"/>
          <w:iCs/>
          <w:sz w:val="28"/>
          <w:szCs w:val="28"/>
        </w:rPr>
        <w:t xml:space="preserve">жилого микрорайона; </w:t>
      </w:r>
    </w:p>
    <w:p w:rsidR="00807483" w:rsidRPr="00807483" w:rsidRDefault="001568C8" w:rsidP="00807483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4)</w:t>
      </w:r>
      <w:r w:rsidR="00807483" w:rsidRPr="00807483">
        <w:rPr>
          <w:rFonts w:ascii="Times New Roman" w:eastAsia="Calibri" w:hAnsi="Times New Roman" w:cs="Times New Roman"/>
          <w:iCs/>
          <w:sz w:val="28"/>
          <w:szCs w:val="28"/>
        </w:rPr>
        <w:t xml:space="preserve">территорий земель общего пользования; </w:t>
      </w:r>
    </w:p>
    <w:p w:rsidR="00807483" w:rsidRPr="00807483" w:rsidRDefault="001568C8" w:rsidP="00807483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5)</w:t>
      </w:r>
      <w:r w:rsidR="00807483" w:rsidRPr="00807483">
        <w:rPr>
          <w:rFonts w:ascii="Times New Roman" w:eastAsia="Calibri" w:hAnsi="Times New Roman" w:cs="Times New Roman"/>
          <w:iCs/>
          <w:sz w:val="28"/>
          <w:szCs w:val="28"/>
        </w:rPr>
        <w:t>иных территорий проживания граждан, за исключением территорий, находящихся в частной индивидуальной или долевой собственности граждан.».</w:t>
      </w:r>
    </w:p>
    <w:p w:rsidR="00D24013" w:rsidRDefault="00807483" w:rsidP="00807483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7483">
        <w:rPr>
          <w:rFonts w:ascii="Times New Roman" w:eastAsia="Calibri" w:hAnsi="Times New Roman" w:cs="Times New Roman"/>
          <w:iCs/>
          <w:sz w:val="28"/>
          <w:szCs w:val="28"/>
        </w:rPr>
        <w:t xml:space="preserve">2.В соответствии с частью 2 статьи 16.1 Устава города Нефтеюганска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возврата и проживающих на территории города Нефтеюганска. </w:t>
      </w:r>
    </w:p>
    <w:p w:rsidR="00807483" w:rsidRPr="00807483" w:rsidRDefault="00807483" w:rsidP="00807483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7483">
        <w:rPr>
          <w:rFonts w:ascii="Times New Roman" w:eastAsia="Calibri" w:hAnsi="Times New Roman" w:cs="Times New Roman"/>
          <w:iCs/>
          <w:sz w:val="28"/>
          <w:szCs w:val="28"/>
        </w:rPr>
        <w:t xml:space="preserve">Пунктом 2.2. Порядка предусмотрено, что инициаторами проектов могут выступать инициативные группы численностью не менее трех граждан, </w:t>
      </w:r>
      <w:r w:rsidRPr="00807483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достигших шестнадцатилетнего возраста и проживающих на территории города Нефтеюганска, в связи с чем следует данный пункт привести в соответствие с Уставом города Нефтеюганска и указать «не менее 10 граждан».</w:t>
      </w:r>
    </w:p>
    <w:p w:rsidR="00807483" w:rsidRPr="00807483" w:rsidRDefault="00807483" w:rsidP="00807483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7483">
        <w:rPr>
          <w:rFonts w:ascii="Times New Roman" w:eastAsia="Calibri" w:hAnsi="Times New Roman" w:cs="Times New Roman"/>
          <w:iCs/>
          <w:sz w:val="28"/>
          <w:szCs w:val="28"/>
        </w:rPr>
        <w:t xml:space="preserve">3.Частью 4. статьи 16.1 Устава </w:t>
      </w:r>
      <w:proofErr w:type="gramStart"/>
      <w:r w:rsidRPr="00807483">
        <w:rPr>
          <w:rFonts w:ascii="Times New Roman" w:eastAsia="Calibri" w:hAnsi="Times New Roman" w:cs="Times New Roman"/>
          <w:iCs/>
          <w:sz w:val="28"/>
          <w:szCs w:val="28"/>
        </w:rPr>
        <w:t>города  Нефтеюганска</w:t>
      </w:r>
      <w:proofErr w:type="gramEnd"/>
      <w:r w:rsidRPr="00807483">
        <w:rPr>
          <w:rFonts w:ascii="Times New Roman" w:eastAsia="Calibri" w:hAnsi="Times New Roman" w:cs="Times New Roman"/>
          <w:iCs/>
          <w:sz w:val="28"/>
          <w:szCs w:val="28"/>
        </w:rPr>
        <w:t xml:space="preserve"> определено, что инициативный проект до его внесения в администрацию города подлежит рассмотрению на собрании или конференции граждан. Решением Думы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  В связи с чем необходимо привести в соответствие пункты 3.1., 3.2., 3.3., 4.1. Порядка, исключив сход граждан. </w:t>
      </w:r>
    </w:p>
    <w:p w:rsidR="00807483" w:rsidRPr="00807483" w:rsidRDefault="00807483" w:rsidP="00807483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748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07B0D">
        <w:rPr>
          <w:rFonts w:ascii="Times New Roman" w:eastAsia="Calibri" w:hAnsi="Times New Roman" w:cs="Times New Roman"/>
          <w:iCs/>
          <w:sz w:val="28"/>
          <w:szCs w:val="28"/>
        </w:rPr>
        <w:t xml:space="preserve">4.Пункт 6.3. Порядка дублирует </w:t>
      </w:r>
      <w:r w:rsidR="007A698F">
        <w:rPr>
          <w:rFonts w:ascii="Times New Roman" w:eastAsia="Calibri" w:hAnsi="Times New Roman" w:cs="Times New Roman"/>
          <w:iCs/>
          <w:sz w:val="28"/>
          <w:szCs w:val="28"/>
        </w:rPr>
        <w:t xml:space="preserve">положения </w:t>
      </w:r>
      <w:r w:rsidRPr="00807483">
        <w:rPr>
          <w:rFonts w:ascii="Times New Roman" w:eastAsia="Calibri" w:hAnsi="Times New Roman" w:cs="Times New Roman"/>
          <w:iCs/>
          <w:sz w:val="28"/>
          <w:szCs w:val="28"/>
        </w:rPr>
        <w:t>пункт</w:t>
      </w:r>
      <w:r w:rsidR="007A698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807483">
        <w:rPr>
          <w:rFonts w:ascii="Times New Roman" w:eastAsia="Calibri" w:hAnsi="Times New Roman" w:cs="Times New Roman"/>
          <w:iCs/>
          <w:sz w:val="28"/>
          <w:szCs w:val="28"/>
        </w:rPr>
        <w:t xml:space="preserve"> 5.6 Порядка: «…поддержать инициативный проект; отказать в поддержке инициативного проекта». В связи с чем пункт 6.3. следует изложить в новой редакции: </w:t>
      </w:r>
    </w:p>
    <w:p w:rsidR="007E1CE0" w:rsidRDefault="00807483" w:rsidP="00807483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7483">
        <w:rPr>
          <w:rFonts w:ascii="Times New Roman" w:eastAsia="Calibri" w:hAnsi="Times New Roman" w:cs="Times New Roman"/>
          <w:iCs/>
          <w:sz w:val="28"/>
          <w:szCs w:val="28"/>
        </w:rPr>
        <w:t>«6.</w:t>
      </w:r>
      <w:proofErr w:type="gramStart"/>
      <w:r w:rsidRPr="00807483">
        <w:rPr>
          <w:rFonts w:ascii="Times New Roman" w:eastAsia="Calibri" w:hAnsi="Times New Roman" w:cs="Times New Roman"/>
          <w:iCs/>
          <w:sz w:val="28"/>
          <w:szCs w:val="28"/>
        </w:rPr>
        <w:t>3.</w:t>
      </w:r>
      <w:r w:rsidR="007E1CE0">
        <w:rPr>
          <w:rFonts w:ascii="Times New Roman" w:eastAsia="Calibri" w:hAnsi="Times New Roman" w:cs="Times New Roman"/>
          <w:iCs/>
          <w:sz w:val="28"/>
          <w:szCs w:val="28"/>
        </w:rPr>
        <w:t>Комиссия</w:t>
      </w:r>
      <w:proofErr w:type="gramEnd"/>
      <w:r w:rsidR="007E1CE0">
        <w:rPr>
          <w:rFonts w:ascii="Times New Roman" w:eastAsia="Calibri" w:hAnsi="Times New Roman" w:cs="Times New Roman"/>
          <w:iCs/>
          <w:sz w:val="28"/>
          <w:szCs w:val="28"/>
        </w:rPr>
        <w:t xml:space="preserve"> по результатам проведения конкурсного отбора присваивает </w:t>
      </w:r>
      <w:proofErr w:type="spellStart"/>
      <w:r w:rsidR="007E1CE0">
        <w:rPr>
          <w:rFonts w:ascii="Times New Roman" w:eastAsia="Calibri" w:hAnsi="Times New Roman" w:cs="Times New Roman"/>
          <w:iCs/>
          <w:sz w:val="28"/>
          <w:szCs w:val="28"/>
        </w:rPr>
        <w:t>рейтнговый</w:t>
      </w:r>
      <w:proofErr w:type="spellEnd"/>
      <w:r w:rsidR="007E1CE0">
        <w:rPr>
          <w:rFonts w:ascii="Times New Roman" w:eastAsia="Calibri" w:hAnsi="Times New Roman" w:cs="Times New Roman"/>
          <w:iCs/>
          <w:sz w:val="28"/>
          <w:szCs w:val="28"/>
        </w:rPr>
        <w:t xml:space="preserve"> балл, исходя из полученного итогового балла по критериям отбора, и принимает одно из следующих решений:</w:t>
      </w:r>
    </w:p>
    <w:p w:rsidR="00807483" w:rsidRPr="00807483" w:rsidRDefault="007E1CE0" w:rsidP="007E1CE0">
      <w:pPr>
        <w:pStyle w:val="ConsPlusNonforma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</w:t>
      </w:r>
      <w:r w:rsidRPr="0080748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07483" w:rsidRPr="00807483">
        <w:rPr>
          <w:rFonts w:ascii="Times New Roman" w:eastAsia="Calibri" w:hAnsi="Times New Roman" w:cs="Times New Roman"/>
          <w:iCs/>
          <w:sz w:val="28"/>
          <w:szCs w:val="28"/>
        </w:rPr>
        <w:t xml:space="preserve">о признании инициативного проекта прошедшим конкурсный отбор </w:t>
      </w:r>
    </w:p>
    <w:p w:rsidR="00807483" w:rsidRDefault="00807483" w:rsidP="00807483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07483">
        <w:rPr>
          <w:rFonts w:ascii="Times New Roman" w:eastAsia="Calibri" w:hAnsi="Times New Roman" w:cs="Times New Roman"/>
          <w:iCs/>
          <w:sz w:val="28"/>
          <w:szCs w:val="28"/>
        </w:rPr>
        <w:t xml:space="preserve">о признании инициативного проекта не прошедшим конкурсный отбор.». </w:t>
      </w:r>
    </w:p>
    <w:p w:rsidR="008E0744" w:rsidRDefault="008E0744" w:rsidP="00807483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5.Пункт 7.5 и абзац первый пункта 7.6 исключены по причине того,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что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исходя из установленных критериев</w:t>
      </w:r>
      <w:r w:rsidR="00771F9E">
        <w:rPr>
          <w:rFonts w:ascii="Times New Roman" w:eastAsia="Calibri" w:hAnsi="Times New Roman" w:cs="Times New Roman"/>
          <w:iCs/>
          <w:sz w:val="28"/>
          <w:szCs w:val="28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существует вероятность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недостижения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указанного количества баллов ни одним из представленных на конкурсный отбор проектов, что не</w:t>
      </w:r>
      <w:r w:rsidR="00771F9E">
        <w:rPr>
          <w:rFonts w:ascii="Times New Roman" w:eastAsia="Calibri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iCs/>
          <w:sz w:val="28"/>
          <w:szCs w:val="28"/>
        </w:rPr>
        <w:t>оответств</w:t>
      </w:r>
      <w:r w:rsidR="00771F9E">
        <w:rPr>
          <w:rFonts w:ascii="Times New Roman" w:eastAsia="Calibri" w:hAnsi="Times New Roman" w:cs="Times New Roman"/>
          <w:iCs/>
          <w:sz w:val="28"/>
          <w:szCs w:val="28"/>
        </w:rPr>
        <w:t>ует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решению администрации города о поддержке того или иного проекта.</w:t>
      </w:r>
    </w:p>
    <w:p w:rsidR="00121F3C" w:rsidRDefault="00121F3C" w:rsidP="00807483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6.</w:t>
      </w:r>
      <w:r w:rsidR="0005190A">
        <w:rPr>
          <w:rFonts w:ascii="Times New Roman" w:eastAsia="Calibri" w:hAnsi="Times New Roman" w:cs="Times New Roman"/>
          <w:iCs/>
          <w:sz w:val="28"/>
          <w:szCs w:val="28"/>
        </w:rPr>
        <w:t>Пункт 7.7 изложен в новой редакции:</w:t>
      </w:r>
    </w:p>
    <w:p w:rsidR="0092521A" w:rsidRPr="0092521A" w:rsidRDefault="00704B58" w:rsidP="00704B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r w:rsidR="0005190A" w:rsidRPr="0092521A">
        <w:rPr>
          <w:rFonts w:ascii="Times New Roman" w:eastAsia="Calibri" w:hAnsi="Times New Roman" w:cs="Times New Roman"/>
          <w:iCs/>
          <w:sz w:val="28"/>
          <w:szCs w:val="28"/>
        </w:rPr>
        <w:t>«7.7.</w:t>
      </w:r>
      <w:r w:rsidR="0092521A" w:rsidRPr="0092521A">
        <w:rPr>
          <w:rFonts w:ascii="Times New Roman" w:hAnsi="Times New Roman" w:cs="Times New Roman"/>
          <w:sz w:val="28"/>
          <w:szCs w:val="28"/>
        </w:rPr>
        <w:t xml:space="preserve"> 7.</w:t>
      </w:r>
      <w:proofErr w:type="gramStart"/>
      <w:r w:rsidR="0092521A" w:rsidRPr="0092521A">
        <w:rPr>
          <w:rFonts w:ascii="Times New Roman" w:hAnsi="Times New Roman" w:cs="Times New Roman"/>
          <w:sz w:val="28"/>
          <w:szCs w:val="28"/>
        </w:rPr>
        <w:t>7.Итоговая</w:t>
      </w:r>
      <w:proofErr w:type="gramEnd"/>
      <w:r w:rsidR="0092521A" w:rsidRPr="0092521A">
        <w:rPr>
          <w:rFonts w:ascii="Times New Roman" w:hAnsi="Times New Roman" w:cs="Times New Roman"/>
          <w:sz w:val="28"/>
          <w:szCs w:val="28"/>
        </w:rPr>
        <w:t xml:space="preserve"> оценка инициативного проекта рассчитывается по следующей формуле:</w:t>
      </w:r>
    </w:p>
    <w:p w:rsidR="0092521A" w:rsidRPr="0092521A" w:rsidRDefault="00704B58" w:rsidP="00704B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521A" w:rsidRPr="0092521A">
        <w:rPr>
          <w:rFonts w:ascii="Times New Roman" w:hAnsi="Times New Roman" w:cs="Times New Roman"/>
          <w:sz w:val="28"/>
          <w:szCs w:val="28"/>
        </w:rPr>
        <w:t xml:space="preserve">Ик = (П)ПКО </w:t>
      </w:r>
      <w:proofErr w:type="spellStart"/>
      <w:r w:rsidR="0092521A" w:rsidRPr="0092521A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92521A" w:rsidRPr="0092521A">
        <w:rPr>
          <w:rFonts w:ascii="Times New Roman" w:hAnsi="Times New Roman" w:cs="Times New Roman"/>
          <w:sz w:val="28"/>
          <w:szCs w:val="28"/>
        </w:rPr>
        <w:t>)) + (∑(</w:t>
      </w:r>
      <w:proofErr w:type="spellStart"/>
      <w:r w:rsidR="0092521A" w:rsidRPr="0092521A">
        <w:rPr>
          <w:rFonts w:ascii="Times New Roman" w:hAnsi="Times New Roman" w:cs="Times New Roman"/>
          <w:sz w:val="28"/>
          <w:szCs w:val="28"/>
          <w:lang w:val="en-US"/>
        </w:rPr>
        <w:t>Pkg</w:t>
      </w:r>
      <w:proofErr w:type="spellEnd"/>
      <w:r w:rsidR="0092521A" w:rsidRPr="0092521A">
        <w:rPr>
          <w:rFonts w:ascii="Times New Roman" w:hAnsi="Times New Roman" w:cs="Times New Roman"/>
          <w:sz w:val="28"/>
          <w:szCs w:val="28"/>
        </w:rPr>
        <w:t>)), где:</w:t>
      </w:r>
    </w:p>
    <w:p w:rsidR="0092521A" w:rsidRPr="0092521A" w:rsidRDefault="00704B58" w:rsidP="00704B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521A" w:rsidRPr="0092521A">
        <w:rPr>
          <w:rFonts w:ascii="Times New Roman" w:hAnsi="Times New Roman" w:cs="Times New Roman"/>
          <w:sz w:val="28"/>
          <w:szCs w:val="28"/>
        </w:rPr>
        <w:t xml:space="preserve">Ик - итоговая оценка инициативного проекта, рассчитанная с учетом выполнения </w:t>
      </w:r>
      <w:hyperlink w:anchor="P299" w:history="1">
        <w:r w:rsidR="0092521A" w:rsidRPr="0092521A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="0092521A" w:rsidRPr="0092521A">
        <w:rPr>
          <w:rFonts w:ascii="Times New Roman" w:hAnsi="Times New Roman" w:cs="Times New Roman"/>
          <w:sz w:val="28"/>
          <w:szCs w:val="28"/>
        </w:rPr>
        <w:t>, указанных в приложении 2 к настоящему Порядку;</w:t>
      </w:r>
    </w:p>
    <w:p w:rsidR="0092521A" w:rsidRPr="0092521A" w:rsidRDefault="00704B58" w:rsidP="00704B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521A" w:rsidRPr="0092521A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92521A" w:rsidRPr="0092521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99" w:history="1">
        <w:r w:rsidR="0092521A" w:rsidRPr="0092521A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="0092521A" w:rsidRPr="0092521A">
        <w:rPr>
          <w:rFonts w:ascii="Times New Roman" w:hAnsi="Times New Roman" w:cs="Times New Roman"/>
          <w:sz w:val="28"/>
          <w:szCs w:val="28"/>
        </w:rPr>
        <w:t>, входящие в группу "Критерии прохождения конкурсного отбора", указанные в приложении 2 к настоящему Порядку.</w:t>
      </w:r>
    </w:p>
    <w:p w:rsidR="0092521A" w:rsidRPr="0092521A" w:rsidRDefault="00704B58" w:rsidP="00704B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2521A" w:rsidRPr="0092521A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92521A" w:rsidRPr="0092521A">
        <w:rPr>
          <w:rFonts w:ascii="Times New Roman" w:hAnsi="Times New Roman" w:cs="Times New Roman"/>
          <w:sz w:val="28"/>
          <w:szCs w:val="28"/>
        </w:rPr>
        <w:t xml:space="preserve">ПКО </w:t>
      </w:r>
      <w:proofErr w:type="spellStart"/>
      <w:r w:rsidR="0092521A" w:rsidRPr="0092521A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="0092521A" w:rsidRPr="0092521A">
        <w:rPr>
          <w:rFonts w:ascii="Times New Roman" w:hAnsi="Times New Roman" w:cs="Times New Roman"/>
          <w:sz w:val="28"/>
          <w:szCs w:val="28"/>
        </w:rPr>
        <w:t>) - произведение баллов, присвоенных проекту по каждому из критериев, входящих в группу "Критерии прохождения конкурсного отбора";</w:t>
      </w:r>
    </w:p>
    <w:p w:rsidR="0092521A" w:rsidRPr="0092521A" w:rsidRDefault="00704B58" w:rsidP="00704B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521A" w:rsidRPr="0092521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2521A" w:rsidRPr="0092521A">
        <w:rPr>
          <w:rFonts w:ascii="Times New Roman" w:hAnsi="Times New Roman" w:cs="Times New Roman"/>
          <w:sz w:val="28"/>
          <w:szCs w:val="28"/>
        </w:rPr>
        <w:t xml:space="preserve">g - </w:t>
      </w:r>
      <w:hyperlink w:anchor="P299" w:history="1">
        <w:r w:rsidR="0092521A" w:rsidRPr="0092521A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="0092521A" w:rsidRPr="0092521A">
        <w:rPr>
          <w:rFonts w:ascii="Times New Roman" w:hAnsi="Times New Roman" w:cs="Times New Roman"/>
          <w:sz w:val="28"/>
          <w:szCs w:val="28"/>
        </w:rPr>
        <w:t>, входящие в группу "Рейтинговые критерии", указанные в приложении 2 к настоящему Порядку;</w:t>
      </w:r>
    </w:p>
    <w:p w:rsidR="0092521A" w:rsidRPr="0092521A" w:rsidRDefault="00704B58" w:rsidP="00704B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21A" w:rsidRPr="0092521A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2AE4FF00" wp14:editId="2E1774E6">
            <wp:extent cx="628650" cy="285750"/>
            <wp:effectExtent l="0" t="0" r="0" b="0"/>
            <wp:docPr id="2" name="Рисунок 2" descr="base_24478_21814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218144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21A" w:rsidRPr="0092521A">
        <w:rPr>
          <w:rFonts w:ascii="Times New Roman" w:hAnsi="Times New Roman" w:cs="Times New Roman"/>
          <w:sz w:val="28"/>
          <w:szCs w:val="28"/>
        </w:rPr>
        <w:t xml:space="preserve"> - сумма баллов, присвоенных инициативному проекту по каждому из критериев, входящих в группу " Рейтинговые критерии ".</w:t>
      </w:r>
    </w:p>
    <w:p w:rsidR="0092521A" w:rsidRPr="0092521A" w:rsidRDefault="00C35DCF" w:rsidP="00704B58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21A" w:rsidRPr="0092521A">
        <w:rPr>
          <w:rFonts w:ascii="Times New Roman" w:hAnsi="Times New Roman" w:cs="Times New Roman"/>
          <w:sz w:val="28"/>
          <w:szCs w:val="28"/>
        </w:rPr>
        <w:t xml:space="preserve">Каждый из критериев </w:t>
      </w:r>
      <w:proofErr w:type="spellStart"/>
      <w:r w:rsidR="0092521A" w:rsidRPr="0092521A">
        <w:rPr>
          <w:rFonts w:ascii="Times New Roman" w:hAnsi="Times New Roman" w:cs="Times New Roman"/>
          <w:sz w:val="28"/>
          <w:szCs w:val="28"/>
        </w:rPr>
        <w:t>kg</w:t>
      </w:r>
      <w:proofErr w:type="spellEnd"/>
      <w:r w:rsidR="0092521A" w:rsidRPr="0092521A">
        <w:rPr>
          <w:rFonts w:ascii="Times New Roman" w:hAnsi="Times New Roman" w:cs="Times New Roman"/>
          <w:sz w:val="28"/>
          <w:szCs w:val="28"/>
        </w:rPr>
        <w:t xml:space="preserve"> может принимать значение, соответствующее уровню выполнения </w:t>
      </w:r>
      <w:hyperlink w:anchor="P299" w:history="1">
        <w:r w:rsidR="0092521A" w:rsidRPr="0092521A">
          <w:rPr>
            <w:rFonts w:ascii="Times New Roman" w:hAnsi="Times New Roman" w:cs="Times New Roman"/>
            <w:sz w:val="28"/>
            <w:szCs w:val="28"/>
          </w:rPr>
          <w:t>критерия</w:t>
        </w:r>
      </w:hyperlink>
      <w:r w:rsidR="0092521A" w:rsidRPr="0092521A">
        <w:rPr>
          <w:rFonts w:ascii="Times New Roman" w:hAnsi="Times New Roman" w:cs="Times New Roman"/>
          <w:sz w:val="28"/>
          <w:szCs w:val="28"/>
        </w:rPr>
        <w:t xml:space="preserve"> в пределах значений, указанных в приложении 2 к настоящему Порядку.</w:t>
      </w:r>
      <w:r w:rsidR="00704B58">
        <w:rPr>
          <w:rFonts w:ascii="Times New Roman" w:hAnsi="Times New Roman" w:cs="Times New Roman"/>
          <w:sz w:val="28"/>
          <w:szCs w:val="28"/>
        </w:rPr>
        <w:t>».</w:t>
      </w:r>
    </w:p>
    <w:p w:rsidR="0092521A" w:rsidRPr="00602535" w:rsidRDefault="00C35DCF" w:rsidP="009252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21A" w:rsidRPr="00602535">
        <w:rPr>
          <w:rFonts w:ascii="Times New Roman" w:hAnsi="Times New Roman" w:cs="Times New Roman"/>
          <w:sz w:val="28"/>
          <w:szCs w:val="28"/>
        </w:rPr>
        <w:t>Основание</w:t>
      </w:r>
      <w:r w:rsidR="00602535" w:rsidRPr="00602535">
        <w:rPr>
          <w:rFonts w:ascii="Times New Roman" w:hAnsi="Times New Roman" w:cs="Times New Roman"/>
          <w:sz w:val="28"/>
          <w:szCs w:val="28"/>
        </w:rPr>
        <w:t>м</w:t>
      </w:r>
      <w:r w:rsidR="0092521A" w:rsidRPr="00602535">
        <w:rPr>
          <w:rFonts w:ascii="Times New Roman" w:hAnsi="Times New Roman" w:cs="Times New Roman"/>
          <w:sz w:val="28"/>
          <w:szCs w:val="28"/>
        </w:rPr>
        <w:t xml:space="preserve"> для </w:t>
      </w:r>
      <w:r w:rsidR="00733826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92521A" w:rsidRPr="00602535">
        <w:rPr>
          <w:rFonts w:ascii="Times New Roman" w:hAnsi="Times New Roman" w:cs="Times New Roman"/>
          <w:sz w:val="28"/>
          <w:szCs w:val="28"/>
        </w:rPr>
        <w:t>изменени</w:t>
      </w:r>
      <w:r w:rsidR="00733826">
        <w:rPr>
          <w:rFonts w:ascii="Times New Roman" w:hAnsi="Times New Roman" w:cs="Times New Roman"/>
          <w:sz w:val="28"/>
          <w:szCs w:val="28"/>
        </w:rPr>
        <w:t>й</w:t>
      </w:r>
      <w:r w:rsidR="0026242A">
        <w:rPr>
          <w:rFonts w:ascii="Times New Roman" w:hAnsi="Times New Roman" w:cs="Times New Roman"/>
          <w:sz w:val="28"/>
          <w:szCs w:val="28"/>
        </w:rPr>
        <w:t xml:space="preserve"> является тот факт, что </w:t>
      </w:r>
      <w:r w:rsidR="0092521A" w:rsidRPr="00602535">
        <w:rPr>
          <w:rFonts w:ascii="Times New Roman" w:hAnsi="Times New Roman" w:cs="Times New Roman"/>
          <w:sz w:val="28"/>
          <w:szCs w:val="28"/>
        </w:rPr>
        <w:t>в текущей редакции при расчете итогового балла в случае превышения суммы инициативного проекта 1500 000 рублей, такой проект неминуемо получает 0 баллов</w:t>
      </w:r>
      <w:r w:rsidR="0026242A">
        <w:rPr>
          <w:rFonts w:ascii="Times New Roman" w:hAnsi="Times New Roman" w:cs="Times New Roman"/>
          <w:sz w:val="28"/>
          <w:szCs w:val="28"/>
        </w:rPr>
        <w:t>,</w:t>
      </w:r>
      <w:r w:rsidR="0092521A" w:rsidRPr="00602535">
        <w:rPr>
          <w:rFonts w:ascii="Times New Roman" w:hAnsi="Times New Roman" w:cs="Times New Roman"/>
          <w:sz w:val="28"/>
          <w:szCs w:val="28"/>
        </w:rPr>
        <w:t xml:space="preserve"> исходя из применения математических правил умножения.  </w:t>
      </w:r>
    </w:p>
    <w:p w:rsidR="0005190A" w:rsidRPr="00807483" w:rsidRDefault="0005190A" w:rsidP="00807483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7AD5" w:rsidRDefault="00654C91" w:rsidP="00697A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7AD5">
        <w:rPr>
          <w:rFonts w:ascii="Times New Roman" w:hAnsi="Times New Roman" w:cs="Times New Roman"/>
          <w:sz w:val="28"/>
          <w:szCs w:val="28"/>
        </w:rPr>
        <w:t>.Пункт 8.1. Порядка содержит некорректные формулировки: «…</w:t>
      </w:r>
      <w:r w:rsidR="0032022B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32022B">
        <w:rPr>
          <w:rFonts w:ascii="Times New Roman" w:hAnsi="Times New Roman" w:cs="Times New Roman"/>
          <w:sz w:val="28"/>
          <w:szCs w:val="28"/>
        </w:rPr>
        <w:t>комисси</w:t>
      </w:r>
      <w:proofErr w:type="spellEnd"/>
      <w:r w:rsidR="0032022B">
        <w:rPr>
          <w:rFonts w:ascii="Times New Roman" w:hAnsi="Times New Roman" w:cs="Times New Roman"/>
          <w:sz w:val="28"/>
          <w:szCs w:val="28"/>
        </w:rPr>
        <w:t>,</w:t>
      </w:r>
      <w:r w:rsidR="00697AD5" w:rsidRPr="00697AD5">
        <w:rPr>
          <w:rFonts w:ascii="Times New Roman" w:hAnsi="Times New Roman" w:cs="Times New Roman"/>
          <w:sz w:val="28"/>
          <w:szCs w:val="28"/>
        </w:rPr>
        <w:t xml:space="preserve"> </w:t>
      </w:r>
      <w:r w:rsidR="00697AD5" w:rsidRPr="00740685">
        <w:rPr>
          <w:rFonts w:ascii="Times New Roman" w:hAnsi="Times New Roman" w:cs="Times New Roman"/>
          <w:sz w:val="28"/>
          <w:szCs w:val="28"/>
        </w:rPr>
        <w:t>в количестве 1</w:t>
      </w:r>
      <w:r w:rsidR="00127473">
        <w:rPr>
          <w:rFonts w:ascii="Times New Roman" w:hAnsi="Times New Roman" w:cs="Times New Roman"/>
          <w:sz w:val="28"/>
          <w:szCs w:val="28"/>
        </w:rPr>
        <w:t>1</w:t>
      </w:r>
      <w:r w:rsidR="00697AD5" w:rsidRPr="007406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97AD5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697AD5" w:rsidRPr="00740685">
        <w:rPr>
          <w:rFonts w:ascii="Times New Roman" w:hAnsi="Times New Roman" w:cs="Times New Roman"/>
          <w:sz w:val="28"/>
          <w:szCs w:val="28"/>
        </w:rPr>
        <w:t>половина от общего числа членов комиссии</w:t>
      </w:r>
      <w:r w:rsidR="00697AD5">
        <w:rPr>
          <w:rFonts w:ascii="Times New Roman" w:hAnsi="Times New Roman" w:cs="Times New Roman"/>
          <w:sz w:val="28"/>
          <w:szCs w:val="28"/>
        </w:rPr>
        <w:t>…», в связи с чем пункт 8.1. следует изложить в новой редакции:</w:t>
      </w:r>
    </w:p>
    <w:p w:rsidR="00697AD5" w:rsidRDefault="00452050" w:rsidP="00697A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050">
        <w:rPr>
          <w:rFonts w:ascii="Times New Roman" w:hAnsi="Times New Roman" w:cs="Times New Roman"/>
          <w:sz w:val="28"/>
          <w:szCs w:val="28"/>
        </w:rPr>
        <w:t xml:space="preserve">  </w:t>
      </w:r>
      <w:r w:rsidR="00697AD5" w:rsidRPr="00740685">
        <w:rPr>
          <w:rFonts w:ascii="Times New Roman" w:hAnsi="Times New Roman" w:cs="Times New Roman"/>
          <w:sz w:val="28"/>
          <w:szCs w:val="28"/>
        </w:rPr>
        <w:t>«8.</w:t>
      </w:r>
      <w:proofErr w:type="gramStart"/>
      <w:r w:rsidR="00697AD5" w:rsidRPr="00740685">
        <w:rPr>
          <w:rFonts w:ascii="Times New Roman" w:hAnsi="Times New Roman" w:cs="Times New Roman"/>
          <w:sz w:val="28"/>
          <w:szCs w:val="28"/>
        </w:rPr>
        <w:t>1.Персональный</w:t>
      </w:r>
      <w:proofErr w:type="gramEnd"/>
      <w:r w:rsidR="00697AD5" w:rsidRPr="00740685">
        <w:rPr>
          <w:rFonts w:ascii="Times New Roman" w:hAnsi="Times New Roman" w:cs="Times New Roman"/>
          <w:sz w:val="28"/>
          <w:szCs w:val="28"/>
        </w:rPr>
        <w:t xml:space="preserve"> состав комиссии утверждается распоряжением администрации города Нефтеюганска в количестве 1</w:t>
      </w:r>
      <w:r w:rsidR="00127473">
        <w:rPr>
          <w:rFonts w:ascii="Times New Roman" w:hAnsi="Times New Roman" w:cs="Times New Roman"/>
          <w:sz w:val="28"/>
          <w:szCs w:val="28"/>
        </w:rPr>
        <w:t>0</w:t>
      </w:r>
      <w:r w:rsidR="00697AD5" w:rsidRPr="00740685">
        <w:rPr>
          <w:rFonts w:ascii="Times New Roman" w:hAnsi="Times New Roman" w:cs="Times New Roman"/>
          <w:sz w:val="28"/>
          <w:szCs w:val="28"/>
        </w:rPr>
        <w:t xml:space="preserve"> человек. При этом половина от общего числа членов комиссии должна быть назначена на основе предложений Думы города Нефтеюганска.</w:t>
      </w:r>
      <w:r w:rsidR="00697AD5">
        <w:rPr>
          <w:rFonts w:ascii="Times New Roman" w:hAnsi="Times New Roman" w:cs="Times New Roman"/>
          <w:sz w:val="28"/>
          <w:szCs w:val="28"/>
        </w:rPr>
        <w:t>».</w:t>
      </w:r>
    </w:p>
    <w:p w:rsidR="007A4AFB" w:rsidRDefault="00937E5B" w:rsidP="00E309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4C91">
        <w:rPr>
          <w:rFonts w:ascii="Times New Roman" w:hAnsi="Times New Roman" w:cs="Times New Roman"/>
          <w:sz w:val="28"/>
          <w:szCs w:val="28"/>
        </w:rPr>
        <w:t xml:space="preserve"> </w:t>
      </w:r>
      <w:r w:rsidR="00C432A0">
        <w:rPr>
          <w:rFonts w:ascii="Times New Roman" w:hAnsi="Times New Roman" w:cs="Times New Roman"/>
          <w:sz w:val="28"/>
          <w:szCs w:val="28"/>
        </w:rPr>
        <w:t>8</w:t>
      </w:r>
      <w:r w:rsidR="007A4AFB">
        <w:rPr>
          <w:rFonts w:ascii="Times New Roman" w:hAnsi="Times New Roman" w:cs="Times New Roman"/>
          <w:sz w:val="28"/>
          <w:szCs w:val="28"/>
        </w:rPr>
        <w:t>.Критерии оценки инициативного проекта изложены в новой редакции, согласно приложению</w:t>
      </w:r>
      <w:r w:rsidR="00BB2361">
        <w:rPr>
          <w:rFonts w:ascii="Times New Roman" w:hAnsi="Times New Roman" w:cs="Times New Roman"/>
          <w:sz w:val="28"/>
          <w:szCs w:val="28"/>
        </w:rPr>
        <w:t>.</w:t>
      </w:r>
    </w:p>
    <w:p w:rsidR="00452050" w:rsidRPr="00452050" w:rsidRDefault="00654DC9" w:rsidP="003F4E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050">
        <w:rPr>
          <w:rFonts w:ascii="Times New Roman" w:hAnsi="Times New Roman" w:cs="Times New Roman"/>
          <w:sz w:val="28"/>
          <w:szCs w:val="28"/>
        </w:rPr>
        <w:t>Проведена первичная антикоррупционная экспертиза данного проекта.</w:t>
      </w:r>
      <w:r w:rsidR="003F4E72">
        <w:rPr>
          <w:rFonts w:ascii="Times New Roman" w:hAnsi="Times New Roman" w:cs="Times New Roman"/>
          <w:sz w:val="28"/>
          <w:szCs w:val="28"/>
        </w:rPr>
        <w:t xml:space="preserve"> </w:t>
      </w:r>
      <w:r w:rsidR="00452050" w:rsidRPr="00452050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коррупциогенных факторов не установлено.</w:t>
      </w:r>
    </w:p>
    <w:p w:rsidR="00452050" w:rsidRDefault="00452050" w:rsidP="009E67B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7C7" w:rsidRDefault="002B77C7" w:rsidP="002B77C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010DB0" w:rsidRDefault="00010DB0" w:rsidP="002B77C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FD427D" w:rsidRDefault="006F0AC8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>Н</w:t>
      </w:r>
      <w:r w:rsidR="0032192C" w:rsidRPr="00655AE9">
        <w:rPr>
          <w:rFonts w:ascii="Times New Roman" w:eastAsia="Calibri" w:hAnsi="Times New Roman" w:cs="Times New Roman"/>
          <w:iCs/>
          <w:sz w:val="28"/>
          <w:szCs w:val="26"/>
        </w:rPr>
        <w:t>ачальник</w:t>
      </w:r>
      <w:r w:rsidR="00FD427D">
        <w:rPr>
          <w:rFonts w:ascii="Times New Roman" w:eastAsia="Calibri" w:hAnsi="Times New Roman" w:cs="Times New Roman"/>
          <w:iCs/>
          <w:sz w:val="28"/>
          <w:szCs w:val="26"/>
        </w:rPr>
        <w:t xml:space="preserve"> юридическо-правового  </w:t>
      </w:r>
    </w:p>
    <w:p w:rsidR="00FD427D" w:rsidRDefault="00FD427D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 xml:space="preserve">управления администрации </w:t>
      </w:r>
    </w:p>
    <w:p w:rsidR="002308ED" w:rsidRDefault="00FD427D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 xml:space="preserve">города </w:t>
      </w:r>
      <w:r w:rsidR="009F0319">
        <w:rPr>
          <w:rFonts w:ascii="Times New Roman" w:eastAsia="Calibri" w:hAnsi="Times New Roman" w:cs="Times New Roman"/>
          <w:iCs/>
          <w:sz w:val="28"/>
          <w:szCs w:val="26"/>
        </w:rPr>
        <w:t>Нефтею</w:t>
      </w:r>
      <w:r>
        <w:rPr>
          <w:rFonts w:ascii="Times New Roman" w:eastAsia="Calibri" w:hAnsi="Times New Roman" w:cs="Times New Roman"/>
          <w:iCs/>
          <w:sz w:val="28"/>
          <w:szCs w:val="26"/>
        </w:rPr>
        <w:t xml:space="preserve">ганска                     </w:t>
      </w:r>
      <w:r w:rsidR="0032192C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                                            </w:t>
      </w:r>
      <w:r w:rsidR="00336BFB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</w:t>
      </w:r>
      <w:r w:rsidR="00EB110C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 </w:t>
      </w:r>
      <w:proofErr w:type="spellStart"/>
      <w:r w:rsidR="00787CBD">
        <w:rPr>
          <w:rFonts w:ascii="Times New Roman" w:eastAsia="Calibri" w:hAnsi="Times New Roman" w:cs="Times New Roman"/>
          <w:iCs/>
          <w:sz w:val="28"/>
          <w:szCs w:val="26"/>
        </w:rPr>
        <w:t>И.Н.Иванчикова</w:t>
      </w:r>
      <w:proofErr w:type="spellEnd"/>
    </w:p>
    <w:p w:rsidR="00010DB0" w:rsidRDefault="00010DB0" w:rsidP="002308ED">
      <w:pPr>
        <w:spacing w:after="0"/>
        <w:rPr>
          <w:rFonts w:ascii="Times New Roman" w:eastAsia="Calibri" w:hAnsi="Times New Roman" w:cs="Times New Roman"/>
          <w:sz w:val="20"/>
        </w:rPr>
      </w:pPr>
    </w:p>
    <w:p w:rsidR="00676AF0" w:rsidRDefault="00676AF0" w:rsidP="002308ED">
      <w:pPr>
        <w:spacing w:after="0"/>
        <w:rPr>
          <w:rFonts w:ascii="Times New Roman" w:eastAsia="Calibri" w:hAnsi="Times New Roman" w:cs="Times New Roman"/>
          <w:sz w:val="20"/>
        </w:rPr>
      </w:pPr>
    </w:p>
    <w:p w:rsidR="002308ED" w:rsidRDefault="00676AF0" w:rsidP="002308ED">
      <w:pPr>
        <w:spacing w:after="0"/>
        <w:rPr>
          <w:rFonts w:ascii="Times New Roman" w:eastAsia="Calibri" w:hAnsi="Times New Roman" w:cs="Times New Roman"/>
          <w:sz w:val="20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sectPr w:rsidR="002308ED" w:rsidSect="00010DB0">
      <w:headerReference w:type="even" r:id="rId8"/>
      <w:headerReference w:type="default" r:id="rId9"/>
      <w:pgSz w:w="11906" w:h="16838"/>
      <w:pgMar w:top="1418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66" w:rsidRDefault="00D20866">
      <w:pPr>
        <w:spacing w:after="0" w:line="240" w:lineRule="auto"/>
      </w:pPr>
      <w:r>
        <w:separator/>
      </w:r>
    </w:p>
  </w:endnote>
  <w:endnote w:type="continuationSeparator" w:id="0">
    <w:p w:rsidR="00D20866" w:rsidRDefault="00D2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66" w:rsidRDefault="00D20866">
      <w:pPr>
        <w:spacing w:after="0" w:line="240" w:lineRule="auto"/>
      </w:pPr>
      <w:r>
        <w:separator/>
      </w:r>
    </w:p>
  </w:footnote>
  <w:footnote w:type="continuationSeparator" w:id="0">
    <w:p w:rsidR="00D20866" w:rsidRDefault="00D2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C0" w:rsidRDefault="0032192C" w:rsidP="00362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0C0" w:rsidRDefault="00D208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C0" w:rsidRDefault="00D20866" w:rsidP="00362683">
    <w:pPr>
      <w:pStyle w:val="a3"/>
      <w:framePr w:wrap="around" w:vAnchor="text" w:hAnchor="margin" w:xAlign="center" w:y="1"/>
      <w:rPr>
        <w:rStyle w:val="a5"/>
      </w:rPr>
    </w:pPr>
  </w:p>
  <w:p w:rsidR="004200C0" w:rsidRDefault="00D208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2CB9"/>
    <w:multiLevelType w:val="hybridMultilevel"/>
    <w:tmpl w:val="FCE8E8C2"/>
    <w:lvl w:ilvl="0" w:tplc="DF88E59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0A17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2BA9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8E66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4C013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2747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300DF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44564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C4F2D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7F59E8"/>
    <w:multiLevelType w:val="hybridMultilevel"/>
    <w:tmpl w:val="BD9CA088"/>
    <w:lvl w:ilvl="0" w:tplc="25E8BC1C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B4B56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AAE2F8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F8FC8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CA200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F47CEC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AEBB5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16B7A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6B72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0A0321"/>
    <w:multiLevelType w:val="hybridMultilevel"/>
    <w:tmpl w:val="7B421B4E"/>
    <w:lvl w:ilvl="0" w:tplc="F0548E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6AB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2290A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84B90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72C11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4693D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4BB6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ACB1B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47D2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36"/>
    <w:rsid w:val="00001844"/>
    <w:rsid w:val="00010DB0"/>
    <w:rsid w:val="000424DC"/>
    <w:rsid w:val="0005190A"/>
    <w:rsid w:val="000714BB"/>
    <w:rsid w:val="00075733"/>
    <w:rsid w:val="00082B12"/>
    <w:rsid w:val="0008701E"/>
    <w:rsid w:val="00115020"/>
    <w:rsid w:val="00121F3C"/>
    <w:rsid w:val="00127473"/>
    <w:rsid w:val="00145E0D"/>
    <w:rsid w:val="001568C8"/>
    <w:rsid w:val="001D1EEF"/>
    <w:rsid w:val="001F325E"/>
    <w:rsid w:val="001F59E0"/>
    <w:rsid w:val="00207B0D"/>
    <w:rsid w:val="002308ED"/>
    <w:rsid w:val="0026242A"/>
    <w:rsid w:val="0028005B"/>
    <w:rsid w:val="002A2FF1"/>
    <w:rsid w:val="002B3A2E"/>
    <w:rsid w:val="002B77C7"/>
    <w:rsid w:val="002C158C"/>
    <w:rsid w:val="002C5BAB"/>
    <w:rsid w:val="003161F5"/>
    <w:rsid w:val="0032022B"/>
    <w:rsid w:val="0032192C"/>
    <w:rsid w:val="00336BFB"/>
    <w:rsid w:val="00370D62"/>
    <w:rsid w:val="003B7B9E"/>
    <w:rsid w:val="003D4D72"/>
    <w:rsid w:val="003E4BA6"/>
    <w:rsid w:val="003F4E72"/>
    <w:rsid w:val="0041460F"/>
    <w:rsid w:val="004349C7"/>
    <w:rsid w:val="00452050"/>
    <w:rsid w:val="004609E0"/>
    <w:rsid w:val="004626F1"/>
    <w:rsid w:val="00466801"/>
    <w:rsid w:val="004B00DF"/>
    <w:rsid w:val="004B353A"/>
    <w:rsid w:val="004C12DE"/>
    <w:rsid w:val="004D66D5"/>
    <w:rsid w:val="004E51A6"/>
    <w:rsid w:val="004F5928"/>
    <w:rsid w:val="00551EF7"/>
    <w:rsid w:val="00560A26"/>
    <w:rsid w:val="00562CC6"/>
    <w:rsid w:val="00562F91"/>
    <w:rsid w:val="0056448C"/>
    <w:rsid w:val="005773C1"/>
    <w:rsid w:val="005E6477"/>
    <w:rsid w:val="00602535"/>
    <w:rsid w:val="0061005E"/>
    <w:rsid w:val="00654C91"/>
    <w:rsid w:val="00654DC9"/>
    <w:rsid w:val="00655AE9"/>
    <w:rsid w:val="006674C3"/>
    <w:rsid w:val="00676AF0"/>
    <w:rsid w:val="00682DEB"/>
    <w:rsid w:val="00697266"/>
    <w:rsid w:val="00697AD5"/>
    <w:rsid w:val="006D1339"/>
    <w:rsid w:val="006D7A23"/>
    <w:rsid w:val="006F0AC8"/>
    <w:rsid w:val="00704B58"/>
    <w:rsid w:val="00706810"/>
    <w:rsid w:val="00712F14"/>
    <w:rsid w:val="00733826"/>
    <w:rsid w:val="007671F3"/>
    <w:rsid w:val="00771F9E"/>
    <w:rsid w:val="00787CBD"/>
    <w:rsid w:val="007A4AFB"/>
    <w:rsid w:val="007A698F"/>
    <w:rsid w:val="007E1CE0"/>
    <w:rsid w:val="00804C73"/>
    <w:rsid w:val="00807483"/>
    <w:rsid w:val="0082169D"/>
    <w:rsid w:val="0085039C"/>
    <w:rsid w:val="00866933"/>
    <w:rsid w:val="008C0209"/>
    <w:rsid w:val="008E0744"/>
    <w:rsid w:val="008E1889"/>
    <w:rsid w:val="0090507D"/>
    <w:rsid w:val="0090776E"/>
    <w:rsid w:val="0092056D"/>
    <w:rsid w:val="0092521A"/>
    <w:rsid w:val="00932225"/>
    <w:rsid w:val="009375FD"/>
    <w:rsid w:val="00937E5B"/>
    <w:rsid w:val="009E190E"/>
    <w:rsid w:val="009E67B9"/>
    <w:rsid w:val="009F0319"/>
    <w:rsid w:val="00A2354F"/>
    <w:rsid w:val="00A5120D"/>
    <w:rsid w:val="00A561B0"/>
    <w:rsid w:val="00A632A8"/>
    <w:rsid w:val="00A76951"/>
    <w:rsid w:val="00A80941"/>
    <w:rsid w:val="00AB3B3B"/>
    <w:rsid w:val="00B178F0"/>
    <w:rsid w:val="00B41536"/>
    <w:rsid w:val="00B76180"/>
    <w:rsid w:val="00B96185"/>
    <w:rsid w:val="00BB2361"/>
    <w:rsid w:val="00BD17F1"/>
    <w:rsid w:val="00BD6599"/>
    <w:rsid w:val="00BF072B"/>
    <w:rsid w:val="00C35DCF"/>
    <w:rsid w:val="00C432A0"/>
    <w:rsid w:val="00C47A8E"/>
    <w:rsid w:val="00C76024"/>
    <w:rsid w:val="00C76D00"/>
    <w:rsid w:val="00CA78F5"/>
    <w:rsid w:val="00CC1609"/>
    <w:rsid w:val="00CE5936"/>
    <w:rsid w:val="00D12692"/>
    <w:rsid w:val="00D20866"/>
    <w:rsid w:val="00D24013"/>
    <w:rsid w:val="00D34446"/>
    <w:rsid w:val="00D72B39"/>
    <w:rsid w:val="00DB388B"/>
    <w:rsid w:val="00DB7E7A"/>
    <w:rsid w:val="00DE2C42"/>
    <w:rsid w:val="00DE40C7"/>
    <w:rsid w:val="00DF12C0"/>
    <w:rsid w:val="00DF3F1E"/>
    <w:rsid w:val="00E02B4E"/>
    <w:rsid w:val="00E10983"/>
    <w:rsid w:val="00E309DC"/>
    <w:rsid w:val="00E40A90"/>
    <w:rsid w:val="00E41603"/>
    <w:rsid w:val="00E65C2C"/>
    <w:rsid w:val="00E72A70"/>
    <w:rsid w:val="00EB110C"/>
    <w:rsid w:val="00EB2421"/>
    <w:rsid w:val="00EB2E9B"/>
    <w:rsid w:val="00ED3BA1"/>
    <w:rsid w:val="00EE0BC2"/>
    <w:rsid w:val="00EF6C3D"/>
    <w:rsid w:val="00F57E85"/>
    <w:rsid w:val="00F7623F"/>
    <w:rsid w:val="00F9728E"/>
    <w:rsid w:val="00FA7464"/>
    <w:rsid w:val="00FB437E"/>
    <w:rsid w:val="00FD427D"/>
    <w:rsid w:val="00FF1535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1B51"/>
  <w15:chartTrackingRefBased/>
  <w15:docId w15:val="{DF906D96-EB6A-434F-9207-D649693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192C"/>
  </w:style>
  <w:style w:type="character" w:styleId="a5">
    <w:name w:val="page number"/>
    <w:uiPriority w:val="99"/>
    <w:rsid w:val="0032192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3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8E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D65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72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Светлана Александровна</dc:creator>
  <cp:keywords/>
  <dc:description/>
  <cp:lastModifiedBy>Юристы</cp:lastModifiedBy>
  <cp:revision>119</cp:revision>
  <cp:lastPrinted>2021-12-20T08:52:00Z</cp:lastPrinted>
  <dcterms:created xsi:type="dcterms:W3CDTF">2021-03-12T07:34:00Z</dcterms:created>
  <dcterms:modified xsi:type="dcterms:W3CDTF">2022-01-19T05:26:00Z</dcterms:modified>
</cp:coreProperties>
</file>